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caps/>
          <w:sz w:val="28"/>
          <w:szCs w:val="28"/>
        </w:rPr>
        <w:t xml:space="preserve">PRÓ-REITORIA DE PESQUISA E PÓS-GRADUAÇÃO proPPG/IBu</w:t>
      </w:r>
    </w:p>
    <w:p>
      <w:pPr>
        <w:spacing w:after="160" w:line="360"/>
        <w:jc w:val="center"/>
      </w:pPr>
      <w:r>
        <w:rPr>
          <w:rFonts w:ascii="Times New Roman" w:cs="Times New Roman" w:eastAsia="Times New Roman" w:hAnsi="Times New Roman"/>
          <w:i/>
          <w:iCs/>
          <w:sz w:val="26"/>
          <w:szCs w:val="26"/>
        </w:rPr>
        <w:t xml:space="preserve">Programa de Pós-graduação</w:t>
      </w:r>
    </w:p>
    <w:p>
      <w:pPr>
        <w:spacing w:after="2880" w:line="360"/>
        <w:jc w:val="center"/>
      </w:pPr>
      <w:r>
        <w:rPr>
          <w:rFonts w:ascii="Times New Roman" w:cs="Times New Roman" w:eastAsia="Times New Roman" w:hAnsi="Times New Roman"/>
          <w:b/>
          <w:bCs/>
          <w:sz w:val="26"/>
          <w:szCs w:val="26"/>
        </w:rPr>
        <w:t xml:space="preserve">Mestrado Profissional em Biotecnologia e Bioprocessos</w:t>
      </w:r>
    </w:p>
    <w:p>
      <w:pPr>
        <w:spacing w:after="2880" w:line="360"/>
        <w:jc w:val="center"/>
      </w:pPr>
      <w:r>
        <w:rPr>
          <w:rFonts w:ascii="Times New Roman" w:cs="Times New Roman" w:eastAsia="Times New Roman" w:hAnsi="Times New Roman"/>
          <w:b/>
          <w:bCs/>
          <w:sz w:val="28"/>
          <w:szCs w:val="28"/>
        </w:rPr>
        <w:t xml:space="preserve">Lucas Marcelino Campos Ferreira</w:t>
      </w:r>
    </w:p>
    <w:p>
      <w:pPr>
        <w:spacing w:after="120" w:line="360"/>
        <w:jc w:val="center"/>
      </w:pPr>
      <w:r>
        <w:rPr>
          <w:rFonts w:ascii="Times New Roman" w:cs="Times New Roman" w:eastAsia="Times New Roman" w:hAnsi="Times New Roman"/>
          <w:b/>
          <w:bCs/>
          <w:caps/>
          <w:sz w:val="32"/>
          <w:szCs w:val="32"/>
        </w:rPr>
        <w:t xml:space="preserve">AVALIAÇÃO DE SÍNDROMES FEBRIS AGUDAS NO MUNICÍPIO DE ORLÂNDIA:</w:t>
      </w:r>
    </w:p>
    <w:p>
      <w:pPr>
        <w:spacing w:after="160" w:line="360"/>
        <w:jc w:val="center"/>
      </w:pPr>
      <w:r>
        <w:rPr>
          <w:rFonts w:ascii="Times New Roman" w:cs="Times New Roman" w:eastAsia="Times New Roman" w:hAnsi="Times New Roman"/>
          <w:b/>
          <w:bCs/>
          <w:sz w:val="26"/>
          <w:szCs w:val="26"/>
        </w:rPr>
        <w:t xml:space="preserve">Contribuições para o Diagnóstico Diferencial além da Dengue</w:t>
      </w:r>
    </w:p>
    <w:p>
      <w:pPr>
        <w:spacing w:after="3600" w:line="360"/>
        <w:jc w:val="center"/>
      </w:pPr>
      <w:r>
        <w:rPr>
          <w:rFonts w:ascii="Times New Roman" w:cs="Times New Roman" w:eastAsia="Times New Roman" w:hAnsi="Times New Roman"/>
          <w:i/>
          <w:iCs/>
          <w:color w:val="555555"/>
          <w:sz w:val="24"/>
          <w:szCs w:val="24"/>
        </w:rPr>
        <w:t xml:space="preserve">Plano de Trabalho</w:t>
      </w:r>
    </w:p>
    <w:p>
      <w:pPr>
        <w:spacing w:after="160" w:line="360"/>
        <w:jc w:val="center"/>
      </w:pPr>
      <w:r>
        <w:rPr>
          <w:rFonts w:ascii="Times New Roman" w:cs="Times New Roman" w:eastAsia="Times New Roman" w:hAnsi="Times New Roman"/>
          <w:b/>
          <w:bCs/>
          <w:sz w:val="24"/>
          <w:szCs w:val="24"/>
        </w:rPr>
        <w:t xml:space="preserve">São Paulo</w:t>
      </w:r>
    </w:p>
    <w:p>
      <w:pPr>
        <w:spacing w:after="0" w:line="360"/>
        <w:jc w:val="center"/>
      </w:pPr>
      <w:r>
        <w:rPr>
          <w:rFonts w:ascii="Times New Roman" w:cs="Times New Roman" w:eastAsia="Times New Roman" w:hAnsi="Times New Roman"/>
          <w:b/>
          <w:bCs/>
          <w:sz w:val="24"/>
          <w:szCs w:val="24"/>
        </w:rPr>
        <w:t xml:space="preserve">2026</w:t>
      </w:r>
    </w:p>
    <w:p>
      <w:r>
        <w:br w:type="page"/>
      </w:r>
    </w:p>
    <w:p>
      <w:pPr>
        <w:spacing w:after="2400" w:line="360"/>
        <w:jc w:val="center"/>
      </w:pPr>
      <w:r>
        <w:rPr>
          <w:rFonts w:ascii="Times New Roman" w:cs="Times New Roman" w:eastAsia="Times New Roman" w:hAnsi="Times New Roman"/>
          <w:b/>
          <w:bCs/>
          <w:sz w:val="28"/>
          <w:szCs w:val="28"/>
        </w:rPr>
        <w:t xml:space="preserve">Lucas Marcelino Campos Ferreira</w:t>
      </w:r>
    </w:p>
    <w:p>
      <w:pPr>
        <w:spacing w:after="120" w:line="360"/>
        <w:jc w:val="center"/>
      </w:pPr>
      <w:r>
        <w:rPr>
          <w:rFonts w:ascii="Times New Roman" w:cs="Times New Roman" w:eastAsia="Times New Roman" w:hAnsi="Times New Roman"/>
          <w:b/>
          <w:bCs/>
          <w:caps/>
          <w:sz w:val="28"/>
          <w:szCs w:val="28"/>
        </w:rPr>
        <w:t xml:space="preserve">AVALIAÇÃO DE SÍNDROMES FEBRIS AGUDAS NO MUNICÍPIO DE ORLÂNDIA:</w:t>
      </w:r>
    </w:p>
    <w:p>
      <w:pPr>
        <w:spacing w:after="2880" w:line="360"/>
        <w:jc w:val="center"/>
      </w:pPr>
      <w:r>
        <w:rPr>
          <w:rFonts w:ascii="Times New Roman" w:cs="Times New Roman" w:eastAsia="Times New Roman" w:hAnsi="Times New Roman"/>
          <w:b/>
          <w:bCs/>
          <w:sz w:val="24"/>
          <w:szCs w:val="24"/>
        </w:rPr>
        <w:t xml:space="preserve">Contribuições para o Diagnóstico Diferencial além da Dengue</w:t>
      </w:r>
    </w:p>
    <w:p>
      <w:pPr>
        <w:spacing w:after="480" w:line="340"/>
        <w:ind w:left="4536"/>
        <w:jc w:val="both"/>
      </w:pPr>
      <w:r>
        <w:rPr>
          <w:rFonts w:ascii="Times New Roman" w:cs="Times New Roman" w:eastAsia="Times New Roman" w:hAnsi="Times New Roman"/>
          <w:sz w:val="22"/>
          <w:szCs w:val="22"/>
        </w:rPr>
        <w:t xml:space="preserve">Plano de trabalho apresentado ao Programa de Mestrado Profissional em Biotecnologia e Bioprocessos da Pró-Reitoria de Pesquisa e Pós-Graduação proPPG/IBu como requisito para desenvolvimento da dissertação de mestrado.</w:t>
      </w:r>
    </w:p>
    <w:p>
      <w:pPr>
        <w:spacing w:after="160" w:line="340"/>
        <w:ind w:left="4536"/>
        <w:jc w:val="both"/>
      </w:pPr>
      <w:r>
        <w:rPr>
          <w:rFonts w:ascii="Times New Roman" w:cs="Times New Roman" w:eastAsia="Times New Roman" w:hAnsi="Times New Roman"/>
          <w:sz w:val="22"/>
          <w:szCs w:val="22"/>
        </w:rPr>
        <w:t xml:space="preserve">Orientadora: Profa. Dra. Sandra Coccuzzo Sampaio Vessoni</w:t>
      </w:r>
    </w:p>
    <w:p>
      <w:pPr>
        <w:spacing w:after="160" w:line="340"/>
        <w:ind w:left="4536"/>
        <w:jc w:val="both"/>
      </w:pPr>
      <w:r>
        <w:rPr>
          <w:rFonts w:ascii="Times New Roman" w:cs="Times New Roman" w:eastAsia="Times New Roman" w:hAnsi="Times New Roman"/>
          <w:sz w:val="22"/>
          <w:szCs w:val="22"/>
        </w:rPr>
        <w:t xml:space="preserve">Empresa: Prefeitura Municipal de Orlândia-SP</w:t>
      </w:r>
    </w:p>
    <w:p>
      <w:pPr>
        <w:spacing w:after="3600" w:line="340"/>
        <w:ind w:left="4536"/>
        <w:jc w:val="both"/>
      </w:pPr>
      <w:r>
        <w:rPr>
          <w:rFonts w:ascii="Times New Roman" w:cs="Times New Roman" w:eastAsia="Times New Roman" w:hAnsi="Times New Roman"/>
          <w:sz w:val="22"/>
          <w:szCs w:val="22"/>
        </w:rPr>
        <w:t xml:space="preserve">Cargo: Médico Veterinário — Vigilância Sanitária</w:t>
      </w:r>
    </w:p>
    <w:p>
      <w:pPr>
        <w:spacing w:after="160" w:line="360"/>
        <w:jc w:val="center"/>
      </w:pPr>
      <w:r>
        <w:rPr>
          <w:rFonts w:ascii="Times New Roman" w:cs="Times New Roman" w:eastAsia="Times New Roman" w:hAnsi="Times New Roman"/>
          <w:b/>
          <w:bCs/>
          <w:sz w:val="24"/>
          <w:szCs w:val="24"/>
        </w:rPr>
        <w:t xml:space="preserve">São Paulo</w:t>
      </w:r>
    </w:p>
    <w:p>
      <w:pPr>
        <w:spacing w:after="0" w:line="360"/>
        <w:jc w:val="center"/>
      </w:pPr>
      <w:r>
        <w:rPr>
          <w:rFonts w:ascii="Times New Roman" w:cs="Times New Roman" w:eastAsia="Times New Roman" w:hAnsi="Times New Roman"/>
          <w:b/>
          <w:bCs/>
          <w:sz w:val="24"/>
          <w:szCs w:val="24"/>
        </w:rPr>
        <w:t xml:space="preserve">2026</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RESUMO</w:t>
      </w:r>
    </w:p>
    <w:p>
      <w:pPr>
        <w:spacing w:after="200" w:line="360" w:lineRule="auto"/>
        <w:jc w:val="both"/>
      </w:pPr>
      <w:r>
        <w:rPr>
          <w:rFonts w:ascii="Times New Roman" w:cs="Times New Roman" w:eastAsia="Times New Roman" w:hAnsi="Times New Roman"/>
          <w:b/>
          <w:bCs/>
          <w:sz w:val="24"/>
          <w:szCs w:val="24"/>
        </w:rPr>
        <w:t xml:space="preserve">Desafio da Pesquisa: </w:t>
      </w:r>
      <w:r>
        <w:rPr>
          <w:rFonts w:ascii="Times New Roman" w:cs="Times New Roman" w:eastAsia="Times New Roman" w:hAnsi="Times New Roman"/>
          <w:sz w:val="24"/>
          <w:szCs w:val="24"/>
        </w:rPr>
        <w:t xml:space="preserve">O município de Orlândia registra um volume expressivo de notificações de síndrome febril aguda, das quais aproximadamente 75% resultam em diagnósticos laboratoriais negativos para dengue. Este cenário gera um "silêncio epidemiológico", onde a causa da enfermidade permanece indeterminada, comprometendo o manejo clínico adequado, a vigilância em saúde eficaz e a alocação precisa de recursos. A carga de doença e o impacto socioeconômico destes casos indeterminados são desconhecidos, representando uma lacuna crítica para a saúde pública local.</w:t>
      </w:r>
    </w:p>
    <w:p>
      <w:pPr>
        <w:spacing w:after="0" w:line="240"/>
      </w:pPr>
      <w:r>
        <w:t xml:space="preserve"/>
      </w:r>
    </w:p>
    <w:p>
      <w:pPr>
        <w:spacing w:after="200" w:line="360" w:lineRule="auto"/>
        <w:jc w:val="both"/>
      </w:pPr>
      <w:r>
        <w:rPr>
          <w:rFonts w:ascii="Times New Roman" w:cs="Times New Roman" w:eastAsia="Times New Roman" w:hAnsi="Times New Roman"/>
          <w:b/>
          <w:bCs/>
          <w:sz w:val="24"/>
          <w:szCs w:val="24"/>
        </w:rPr>
        <w:t xml:space="preserve">Metodologia: </w:t>
      </w:r>
      <w:r>
        <w:rPr>
          <w:rFonts w:ascii="Times New Roman" w:cs="Times New Roman" w:eastAsia="Times New Roman" w:hAnsi="Times New Roman"/>
          <w:sz w:val="24"/>
          <w:szCs w:val="24"/>
        </w:rPr>
        <w:t xml:space="preserve">Será conduzida uma coorte prospectiva comparativa ao longo de três períodos sazonais distintos (setembro de 2026, janeiro e maio de 2027). A população do estudo será composta por todos os pacientes notificados com suspeita de dengue e testados no município durante esses meses, divididos em dois grupos: 1) Dengue Confirmada (teste positivo) e 2) Síndrome Febril Indeterminada (teste negativo/inconclusivo). Os participantes serão acompanhados longitudinalmente por 30 dias (nos momentos T0, T10 e T30) por meio de formulários eletrônicos estruturados.</w:t>
      </w:r>
    </w:p>
    <w:p>
      <w:pPr>
        <w:spacing w:after="0" w:line="240"/>
      </w:pPr>
      <w:r>
        <w:t xml:space="preserve"/>
      </w:r>
    </w:p>
    <w:p>
      <w:pPr>
        <w:spacing w:after="200" w:line="360" w:lineRule="auto"/>
        <w:jc w:val="both"/>
      </w:pPr>
      <w:r>
        <w:rPr>
          <w:rFonts w:ascii="Times New Roman" w:cs="Times New Roman" w:eastAsia="Times New Roman" w:hAnsi="Times New Roman"/>
          <w:b/>
          <w:bCs/>
          <w:sz w:val="24"/>
          <w:szCs w:val="24"/>
        </w:rPr>
        <w:t xml:space="preserve">Possíveis Resultados: </w:t>
      </w:r>
      <w:r>
        <w:rPr>
          <w:rFonts w:ascii="Times New Roman" w:cs="Times New Roman" w:eastAsia="Times New Roman" w:hAnsi="Times New Roman"/>
          <w:sz w:val="24"/>
          <w:szCs w:val="24"/>
        </w:rPr>
        <w:t xml:space="preserve">Espera-se quantificar e comparar a carga clínica e o impacto econômico direto e indireto dos casos confirmados de dengue versus os indeterminados, gerando evidências científicas que demonstrem a magnitude do "silêncio epidemiológico", identifiquem perfis clínicos sugestivos de outras etiologias e fundamentem protocolos complementares de investigação diagnóstica para o município de Orlândia.</w:t>
      </w:r>
    </w:p>
    <w:p>
      <w:pPr>
        <w:spacing w:after="0" w:line="240"/>
      </w:pPr>
      <w:r>
        <w:t xml:space="preserve"/>
      </w:r>
    </w:p>
    <w:p>
      <w:pPr>
        <w:spacing w:after="200" w:line="36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i/>
          <w:iCs/>
          <w:sz w:val="24"/>
          <w:szCs w:val="24"/>
        </w:rPr>
        <w:t xml:space="preserve">síndrome febril aguda; dengue; diagnóstico diferencial; saúde pública; vigilância epidemiológica; zoonoses; One Health.</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ABSTRACT</w:t>
      </w:r>
    </w:p>
    <w:p>
      <w:pPr>
        <w:spacing w:after="200" w:line="360" w:lineRule="auto"/>
        <w:jc w:val="both"/>
      </w:pPr>
      <w:r>
        <w:rPr>
          <w:rFonts w:ascii="Times New Roman" w:cs="Times New Roman" w:eastAsia="Times New Roman" w:hAnsi="Times New Roman"/>
          <w:b/>
          <w:bCs/>
          <w:sz w:val="24"/>
          <w:szCs w:val="24"/>
        </w:rPr>
        <w:t xml:space="preserve">Research Challenge: </w:t>
      </w:r>
      <w:r>
        <w:rPr>
          <w:rFonts w:ascii="Times New Roman" w:cs="Times New Roman" w:eastAsia="Times New Roman" w:hAnsi="Times New Roman"/>
          <w:sz w:val="24"/>
          <w:szCs w:val="24"/>
        </w:rPr>
        <w:t xml:space="preserve">The municipality of Orlândia records a high volume of acute febrile syndrome notifications, of which approximately 75% result in negative laboratory diagnoses for dengue. This scenario creates an "epidemiological silence," where the cause of illness remains undetermined, compromising adequate clinical management, effective health surveillance, and precise resource allocation.</w:t>
      </w:r>
    </w:p>
    <w:p>
      <w:pPr>
        <w:spacing w:after="0" w:line="240"/>
      </w:pPr>
      <w:r>
        <w:t xml:space="preserve"/>
      </w:r>
    </w:p>
    <w:p>
      <w:pPr>
        <w:spacing w:after="200" w:line="360" w:lineRule="auto"/>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A comparative prospective cohort will be conducted over three distinct seasonal periods (September 2026, January and May 2027). Study participants will include all patients notified with suspected dengue who were tested in the municipality during these months, divided into two groups: 1) Confirmed Dengue (positive test) and 2) Undetermined Febrile Syndrome (negative/inconclusive test). Participants will be followed longitudinally for 30 days (at T0, T10, and T30) using structured electronic forms.</w:t>
      </w:r>
    </w:p>
    <w:p>
      <w:pPr>
        <w:spacing w:after="0" w:line="240"/>
      </w:pPr>
      <w:r>
        <w:t xml:space="preserve"/>
      </w:r>
    </w:p>
    <w:p>
      <w:pPr>
        <w:spacing w:after="200" w:line="360" w:lineRule="auto"/>
        <w:jc w:val="both"/>
      </w:pPr>
      <w:r>
        <w:rPr>
          <w:rFonts w:ascii="Times New Roman" w:cs="Times New Roman" w:eastAsia="Times New Roman" w:hAnsi="Times New Roman"/>
          <w:b/>
          <w:bCs/>
          <w:sz w:val="24"/>
          <w:szCs w:val="24"/>
        </w:rPr>
        <w:t xml:space="preserve">Expected Results: </w:t>
      </w:r>
      <w:r>
        <w:rPr>
          <w:rFonts w:ascii="Times New Roman" w:cs="Times New Roman" w:eastAsia="Times New Roman" w:hAnsi="Times New Roman"/>
          <w:sz w:val="24"/>
          <w:szCs w:val="24"/>
        </w:rPr>
        <w:t xml:space="preserve">The project aims to quantify and compare the clinical burden and direct/indirect economic impact of confirmed dengue cases versus undetermined cases, generating scientific evidence to demonstrate the magnitude of the "epidemiological silence," identify clinical profiles suggestive of other etiologies, and support complementary diagnostic investigation protocols for the municipality of Orlândia.</w:t>
      </w:r>
    </w:p>
    <w:p>
      <w:pPr>
        <w:spacing w:after="0" w:line="240"/>
      </w:pPr>
      <w:r>
        <w:t xml:space="preserve"/>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acute febrile syndrome; dengue; differential diagnosis; public health; epidemiological surveillance; zoonoses; One Health.</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SUMÁRIO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RESUMO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ABSTRACT</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1  DADOS INSTITUCIONAIS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1.1  Dados da Empresa Empregadora</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1.2  Equipe do Projeto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2  INTRODUÇÃO E JUSTIFICATIVA</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2.1  Inovação do Estudo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3  OBJETIVOS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3.1  Objetivo Geral</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3.2  Objetivos Específicos / Metas Operacionais</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4  METODOLOGIA</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4.1  Desenho do Estudo</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4.2  Cenário e População</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4.3  Seleção e Grupos de Estudo</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4.4  Recrutamento e Amostragem</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4.5  Coleta de Dados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4.6  Variáveis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4.7  Processo e Logística</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4.8  Plano de Análise de Dados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4.9  Aspectos Éticos</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5  ETAPAS DE EXECUÇÃO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6  CRONOGRAMA</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7  LOCAL DE REALIZAÇÃO DO PROJETO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REFERÊNCIAS</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1 DADOS INSTITUCIONAIS</w:t>
      </w:r>
    </w:p>
    <w:p>
      <w:pPr>
        <w:pStyle w:val="Heading2"/>
        <w:spacing w:after="200" w:before="400" w:line="360" w:lineRule="auto"/>
        <w:jc w:val="left"/>
      </w:pPr>
      <w:r>
        <w:rPr>
          <w:rFonts w:ascii="Times New Roman" w:cs="Times New Roman" w:eastAsia="Times New Roman" w:hAnsi="Times New Roman"/>
          <w:b/>
          <w:bCs/>
          <w:sz w:val="26"/>
          <w:szCs w:val="26"/>
        </w:rPr>
        <w:t xml:space="preserve">1.1 Dados da Empresa Empregadora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c>
          <w:tcPr>
            <w:tcW w:type="dxa" w:w="25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Razão Social</w:t>
            </w:r>
          </w:p>
        </w:tc>
        <w:tc>
          <w:tcPr>
            <w:tcW w:type="dxa" w:w="65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Prefeitura Municipal de Orlândia-SP/Brasil</w:t>
            </w:r>
          </w:p>
        </w:tc>
      </w:tr>
      <w:tr>
        <w:tc>
          <w:tcPr>
            <w:tcW w:type="dxa" w:w="25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CNPJ</w:t>
            </w:r>
          </w:p>
        </w:tc>
        <w:tc>
          <w:tcPr>
            <w:tcW w:type="dxa" w:w="65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45.351.749/0001-11</w:t>
            </w:r>
          </w:p>
        </w:tc>
      </w:tr>
      <w:tr>
        <w:tc>
          <w:tcPr>
            <w:tcW w:type="dxa" w:w="25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Responsável</w:t>
            </w:r>
          </w:p>
        </w:tc>
        <w:tc>
          <w:tcPr>
            <w:tcW w:type="dxa" w:w="65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Diego Roberto Meloni — Secretário de Saúde</w:t>
            </w:r>
          </w:p>
        </w:tc>
      </w:tr>
      <w:tr>
        <w:tc>
          <w:tcPr>
            <w:tcW w:type="dxa" w:w="25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CPF</w:t>
            </w:r>
          </w:p>
        </w:tc>
        <w:tc>
          <w:tcPr>
            <w:tcW w:type="dxa" w:w="65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329.172.248-51</w:t>
            </w:r>
          </w:p>
        </w:tc>
      </w:tr>
      <w:tr>
        <w:tc>
          <w:tcPr>
            <w:tcW w:type="dxa" w:w="25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Endereço</w:t>
            </w:r>
          </w:p>
        </w:tc>
        <w:tc>
          <w:tcPr>
            <w:tcW w:type="dxa" w:w="65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Praça Coronel Francisco Orlando, 600 — Centro, Orlândia-SP, CEP 14620-000</w:t>
            </w:r>
          </w:p>
        </w:tc>
      </w:tr>
    </w:tbl>
    <w:p>
      <w:pPr>
        <w:spacing w:after="0" w:line="240"/>
      </w:pPr>
      <w:r>
        <w:t xml:space="preserve"/>
      </w:r>
    </w:p>
    <w:p>
      <w:pPr>
        <w:pStyle w:val="Heading2"/>
        <w:spacing w:after="200" w:before="400" w:line="360" w:lineRule="auto"/>
        <w:jc w:val="left"/>
      </w:pPr>
      <w:r>
        <w:rPr>
          <w:rFonts w:ascii="Times New Roman" w:cs="Times New Roman" w:eastAsia="Times New Roman" w:hAnsi="Times New Roman"/>
          <w:b/>
          <w:bCs/>
          <w:sz w:val="26"/>
          <w:szCs w:val="26"/>
        </w:rPr>
        <w:t xml:space="preserve">1.2 Equipe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1871"/>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Nome</w:t>
            </w:r>
          </w:p>
        </w:tc>
        <w:tc>
          <w:tcPr>
            <w:tcW w:type="dxa" w:w="26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Cargo / Vínculo</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Dedicação</w:t>
            </w:r>
          </w:p>
        </w:tc>
        <w:tc>
          <w:tcPr>
            <w:tcW w:type="dxa" w:w="1871"/>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Papel</w:t>
            </w:r>
          </w:p>
        </w:tc>
      </w:tr>
      <w:tr>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Lucas Marcelino Campos Ferreira</w:t>
            </w:r>
          </w:p>
        </w:tc>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Médico Veterinário — Pref. Municipal de Orlândia</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12 h/semana</w:t>
            </w:r>
          </w:p>
        </w:tc>
        <w:tc>
          <w:tcPr>
            <w:tcW w:type="dxa" w:w="18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Pesquisador / Aluno</w:t>
            </w:r>
          </w:p>
        </w:tc>
      </w:tr>
      <w:tr>
        <w:tc>
          <w:tcPr>
            <w:tcW w:type="dxa" w:w="2800"/>
            <w:tcBorders>
              <w:top w:val="single" w:color="CCCCCC" w:sz="4"/>
              <w:left w:val="single" w:color="CCCCCC" w:sz="4"/>
              <w:bottom w:val="single" w:color="CCCCCC" w:sz="4"/>
              <w:right w:val="single" w:color="CCCCCC" w:sz="4"/>
            </w:tcBorders>
            <w:shd w:fill="F0F4FA"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Sandra Coccuzzo Sampaio Vessoni</w:t>
            </w:r>
          </w:p>
        </w:tc>
        <w:tc>
          <w:tcPr>
            <w:tcW w:type="dxa" w:w="2600"/>
            <w:tcBorders>
              <w:top w:val="single" w:color="CCCCCC" w:sz="4"/>
              <w:left w:val="single" w:color="CCCCCC" w:sz="4"/>
              <w:bottom w:val="single" w:color="CCCCCC" w:sz="4"/>
              <w:right w:val="single" w:color="CCCCCC" w:sz="4"/>
            </w:tcBorders>
            <w:shd w:fill="F0F4FA"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Profa. Dra. — Instituto Butantan</w:t>
            </w:r>
          </w:p>
        </w:tc>
        <w:tc>
          <w:tcPr>
            <w:tcW w:type="dxa" w:w="1800"/>
            <w:tcBorders>
              <w:top w:val="single" w:color="CCCCCC" w:sz="4"/>
              <w:left w:val="single" w:color="CCCCCC" w:sz="4"/>
              <w:bottom w:val="single" w:color="CCCCCC" w:sz="4"/>
              <w:right w:val="single" w:color="CCCCCC" w:sz="4"/>
            </w:tcBorders>
            <w:shd w:fill="F0F4FA"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w:t>
            </w:r>
          </w:p>
        </w:tc>
        <w:tc>
          <w:tcPr>
            <w:tcW w:type="dxa" w:w="1871"/>
            <w:tcBorders>
              <w:top w:val="single" w:color="CCCCCC" w:sz="4"/>
              <w:left w:val="single" w:color="CCCCCC" w:sz="4"/>
              <w:bottom w:val="single" w:color="CCCCCC" w:sz="4"/>
              <w:right w:val="single" w:color="CCCCCC" w:sz="4"/>
            </w:tcBorders>
            <w:shd w:fill="F0F4FA"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Orientadora</w:t>
            </w:r>
          </w:p>
        </w:tc>
      </w:tr>
    </w:tbl>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2 INTRODUÇÃO E JUSTIFICATIVA</w:t>
      </w:r>
    </w:p>
    <w:p>
      <w:pPr>
        <w:spacing w:after="200" w:line="360" w:lineRule="auto"/>
        <w:jc w:val="both"/>
      </w:pPr>
      <w:r>
        <w:rPr>
          <w:rFonts w:ascii="Times New Roman" w:cs="Times New Roman" w:eastAsia="Times New Roman" w:hAnsi="Times New Roman"/>
          <w:b w:val="false"/>
          <w:bCs w:val="false"/>
          <w:color w:val="000000"/>
          <w:sz w:val="24"/>
          <w:szCs w:val="24"/>
        </w:rPr>
        <w:t xml:space="preserve">A vigilância em saúde de Orlândia, cidade do interior de São Paulo, apresenta importante e crítica lacuna diagnóstica: cerca de 75% das notificações de síndrome febril aguda compatível com dengue resultam em exames negativos, produzindo subnotificação de etiologias reais e comprometendo a acurácia das respostas em saúde pública.</w:t>
      </w:r>
    </w:p>
    <w:p>
      <w:pPr>
        <w:spacing w:after="200" w:line="360" w:lineRule="auto"/>
        <w:jc w:val="both"/>
      </w:pPr>
      <w:r>
        <w:rPr>
          <w:rFonts w:ascii="Times New Roman" w:cs="Times New Roman" w:eastAsia="Times New Roman" w:hAnsi="Times New Roman"/>
          <w:b w:val="false"/>
          <w:bCs w:val="false"/>
          <w:color w:val="000000"/>
          <w:sz w:val="24"/>
          <w:szCs w:val="24"/>
        </w:rPr>
        <w:t xml:space="preserve">Portanto, o presente projeto propõe um desenho metodológico que possa transformar esse indicador de falha em objeto de investigação sistemática, incorporando o enfoque de ecossistema da saúde para explorar zoonoses e Doenças Transmitidas por Alimentos (DTAs) frequentemente ignoradas nos fluxos epidemiológicos usuais.</w:t>
      </w:r>
    </w:p>
    <w:p>
      <w:pPr>
        <w:spacing w:after="200" w:line="360" w:lineRule="auto"/>
        <w:jc w:val="both"/>
      </w:pPr>
      <w:r>
        <w:rPr>
          <w:rFonts w:ascii="Times New Roman" w:cs="Times New Roman" w:eastAsia="Times New Roman" w:hAnsi="Times New Roman"/>
          <w:b w:val="false"/>
          <w:bCs w:val="false"/>
          <w:color w:val="000000"/>
          <w:sz w:val="24"/>
          <w:szCs w:val="24"/>
        </w:rPr>
        <w:t xml:space="preserve">Para este desenho será utilizada uma coorte comparativa acompanhando, ao longo do tempo, casos confirmados de dengue e casos ainda sem diagnóstico definido. Essa perspectiva permitirá medir melhor os impactos clínicos e socioeconômicos e identificar padrões de sinais, sintomas e exposições que ajudem a indicar possíveis causas das doenças, gerando evidências úteis para a prática da vigilância em saúde.</w:t>
      </w:r>
    </w:p>
    <w:p>
      <w:pPr>
        <w:spacing w:after="200" w:line="360" w:lineRule="auto"/>
        <w:jc w:val="both"/>
      </w:pPr>
      <w:r>
        <w:rPr>
          <w:rFonts w:ascii="Times New Roman" w:cs="Times New Roman" w:eastAsia="Times New Roman" w:hAnsi="Times New Roman"/>
          <w:b w:val="false"/>
          <w:bCs w:val="false"/>
          <w:color w:val="000000"/>
          <w:sz w:val="24"/>
          <w:szCs w:val="24"/>
        </w:rPr>
        <w:t xml:space="preserve">Com a integração entre a vigilância epidemiológica e a sanitária, o projeto torna-se viável e bem estruturado para criar um protocolo complementar de investigação. Esse protocolo qualificará a equipe e aprimorará o uso dos recursos diagnósticos, fortalecendo a política pública local.</w:t>
      </w:r>
    </w:p>
    <w:p>
      <w:pPr>
        <w:pStyle w:val="Heading2"/>
        <w:spacing w:after="200" w:before="400" w:line="360" w:lineRule="auto"/>
        <w:jc w:val="left"/>
      </w:pPr>
      <w:r>
        <w:rPr>
          <w:rFonts w:ascii="Times New Roman" w:cs="Times New Roman" w:eastAsia="Times New Roman" w:hAnsi="Times New Roman"/>
          <w:b/>
          <w:bCs/>
          <w:sz w:val="26"/>
          <w:szCs w:val="26"/>
        </w:rPr>
        <w:t xml:space="preserve">2.1 Inovação do Estudo</w:t>
      </w:r>
    </w:p>
    <w:p>
      <w:pPr>
        <w:spacing w:after="200" w:line="360" w:lineRule="auto"/>
        <w:jc w:val="both"/>
      </w:pPr>
      <w:r>
        <w:rPr>
          <w:rFonts w:ascii="Times New Roman" w:cs="Times New Roman" w:eastAsia="Times New Roman" w:hAnsi="Times New Roman"/>
          <w:b w:val="false"/>
          <w:bCs w:val="false"/>
          <w:color w:val="000000"/>
          <w:sz w:val="24"/>
          <w:szCs w:val="24"/>
        </w:rPr>
        <w:t xml:space="preserve">Este projeto apresenta caráter inovador, especialmente no contexto municipal e regional, ao integrar de forma prospectiva e sistemática:</w:t>
      </w:r>
    </w:p>
    <w:p>
      <w:pPr>
        <w:pStyle w:val="ListParagraph"/>
        <w:numPr>
          <w:ilvl w:val="0"/>
          <w:numId w:val="2"/>
        </w:numPr>
        <w:spacing w:after="200" w:line="360"/>
        <w:jc w:val="both"/>
      </w:pPr>
      <w:r>
        <w:rPr>
          <w:rFonts w:ascii="Times New Roman" w:cs="Times New Roman" w:eastAsia="Times New Roman" w:hAnsi="Times New Roman"/>
          <w:b/>
          <w:bCs/>
          <w:sz w:val="24"/>
          <w:szCs w:val="24"/>
        </w:rPr>
        <w:t xml:space="preserve">Análise Comparativa:</w:t>
      </w:r>
      <w:r>
        <w:rPr>
          <w:rFonts w:ascii="Times New Roman" w:cs="Times New Roman" w:eastAsia="Times New Roman" w:hAnsi="Times New Roman"/>
          <w:sz w:val="24"/>
          <w:szCs w:val="24"/>
        </w:rPr>
        <w:t xml:space="preserve"> a análise paralela e longitudinal dos casos confirmados e indeterminados de síndrome febril é uma estratégia inédita para o município, permitindo uma mensuração mais precisa do verdadeiro custo do "silêncio epidemiológico".</w:t>
      </w:r>
    </w:p>
    <w:p>
      <w:pPr>
        <w:pStyle w:val="ListParagraph"/>
        <w:numPr>
          <w:ilvl w:val="0"/>
          <w:numId w:val="2"/>
        </w:numPr>
        <w:spacing w:after="200" w:line="360"/>
        <w:jc w:val="both"/>
      </w:pPr>
      <w:r>
        <w:rPr>
          <w:rFonts w:ascii="Times New Roman" w:cs="Times New Roman" w:eastAsia="Times New Roman" w:hAnsi="Times New Roman"/>
          <w:b/>
          <w:bCs/>
          <w:sz w:val="24"/>
          <w:szCs w:val="24"/>
        </w:rPr>
        <w:t xml:space="preserve">Ecossistema da saúde:</w:t>
      </w:r>
      <w:r>
        <w:rPr>
          <w:rFonts w:ascii="Times New Roman" w:cs="Times New Roman" w:eastAsia="Times New Roman" w:hAnsi="Times New Roman"/>
          <w:sz w:val="24"/>
          <w:szCs w:val="24"/>
        </w:rPr>
        <w:t xml:space="preserve"> a inclusão de variáveis de exposição relacionadas a zoonoses e DTAs no instrumento de coleta de dados de pacientes humanos, conduzida por um profissional da área veterinária na vigilância sanitária, gerando hipóteses etiológicas no âmbito da saúde pública local.</w:t>
      </w:r>
    </w:p>
    <w:p>
      <w:pPr>
        <w:pStyle w:val="ListParagraph"/>
        <w:numPr>
          <w:ilvl w:val="0"/>
          <w:numId w:val="2"/>
        </w:numPr>
        <w:spacing w:after="200" w:line="360"/>
        <w:jc w:val="both"/>
      </w:pPr>
      <w:r>
        <w:rPr>
          <w:rFonts w:ascii="Times New Roman" w:cs="Times New Roman" w:eastAsia="Times New Roman" w:hAnsi="Times New Roman"/>
          <w:b/>
          <w:bCs/>
          <w:sz w:val="24"/>
          <w:szCs w:val="24"/>
        </w:rPr>
        <w:t xml:space="preserve">Ponte entre Vigilância e Pesquisa Aplicada:</w:t>
      </w:r>
      <w:r>
        <w:rPr>
          <w:rFonts w:ascii="Times New Roman" w:cs="Times New Roman" w:eastAsia="Times New Roman" w:hAnsi="Times New Roman"/>
          <w:sz w:val="24"/>
          <w:szCs w:val="24"/>
        </w:rPr>
        <w:t xml:space="preserve"> o projeto foi concebido para transformar um dado operacional da vigilância (o alto percentual de resultados negativos) em uma questão de pesquisa, cujos resultados serão diretamente aplicáveis para o redesenho de protocolos locais.</w:t>
      </w:r>
    </w:p>
    <w:p>
      <w:pPr>
        <w:pStyle w:val="ListParagraph"/>
        <w:numPr>
          <w:ilvl w:val="0"/>
          <w:numId w:val="2"/>
        </w:numPr>
        <w:spacing w:after="200" w:line="360"/>
        <w:jc w:val="both"/>
      </w:pPr>
      <w:r>
        <w:rPr>
          <w:rFonts w:ascii="Times New Roman" w:cs="Times New Roman" w:eastAsia="Times New Roman" w:hAnsi="Times New Roman"/>
          <w:b/>
          <w:bCs/>
          <w:sz w:val="24"/>
          <w:szCs w:val="24"/>
        </w:rPr>
        <w:t xml:space="preserve">Base para ações disruptivas:</w:t>
      </w:r>
      <w:r>
        <w:rPr>
          <w:rFonts w:ascii="Times New Roman" w:cs="Times New Roman" w:eastAsia="Times New Roman" w:hAnsi="Times New Roman"/>
          <w:sz w:val="24"/>
          <w:szCs w:val="24"/>
        </w:rPr>
        <w:t xml:space="preserve"> os resultados servirão como base de dados epidemiológica fundamental para um projeto subsequente que visará a implementação de painéis multiplex de diagnóstico etiológico para os principais agravos identificados.</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3 OBJETIVOS</w:t>
      </w:r>
    </w:p>
    <w:p>
      <w:pPr>
        <w:pStyle w:val="Heading2"/>
        <w:spacing w:after="200" w:before="400" w:line="360" w:lineRule="auto"/>
        <w:jc w:val="left"/>
      </w:pPr>
      <w:r>
        <w:rPr>
          <w:rFonts w:ascii="Times New Roman" w:cs="Times New Roman" w:eastAsia="Times New Roman" w:hAnsi="Times New Roman"/>
          <w:b/>
          <w:bCs/>
          <w:sz w:val="26"/>
          <w:szCs w:val="26"/>
        </w:rPr>
        <w:t xml:space="preserve">3.1 Objetivo Geral</w:t>
      </w:r>
    </w:p>
    <w:p>
      <w:pPr>
        <w:spacing w:after="200" w:line="360" w:lineRule="auto"/>
        <w:jc w:val="both"/>
      </w:pPr>
      <w:r>
        <w:rPr>
          <w:rFonts w:ascii="Times New Roman" w:cs="Times New Roman" w:eastAsia="Times New Roman" w:hAnsi="Times New Roman"/>
          <w:b w:val="false"/>
          <w:bCs w:val="false"/>
          <w:i/>
          <w:iCs/>
          <w:sz w:val="24"/>
          <w:szCs w:val="24"/>
        </w:rPr>
        <w:t xml:space="preserve">Avaliar e comparar a carga de doença e o impacto socioeconômico entre casos de dengue confirmada e casos de síndrome febril aguda indeterminada no município de Orlândia, identificando também perfis clínico-epidemiológicos distintos que orientem a investigação de outras possíveis causas infecciosas.</w:t>
      </w:r>
    </w:p>
    <w:p>
      <w:pPr>
        <w:pStyle w:val="Heading2"/>
        <w:spacing w:after="200" w:before="400" w:line="360" w:lineRule="auto"/>
        <w:jc w:val="left"/>
      </w:pPr>
      <w:r>
        <w:rPr>
          <w:rFonts w:ascii="Times New Roman" w:cs="Times New Roman" w:eastAsia="Times New Roman" w:hAnsi="Times New Roman"/>
          <w:b/>
          <w:bCs/>
          <w:sz w:val="26"/>
          <w:szCs w:val="26"/>
        </w:rPr>
        <w:t xml:space="preserve">3.2 Objetivos Específicos / Metas Operacionais</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Caracterizar clínica e epidemiologicamente os pacientes com síndrome febril aguda notificados em Orlândia, estratificando-os entre casos com diagnóstico confirmado para dengue e casos com diagnóstico negativo ou inconclusivo;</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Quantificar e comparar os desfechos clínicos (duração dos sintomas, complicações, necessidade de reconsultas) e o impacto socioeconômico (dias de ausência no trabalho/escola, custos diretos e indiretos) entre os dois grupos;</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Identificar, por meio de análise estatística, combinações de sinais, sintomas e fatores de exposição (como contato com animais, consumo de alimentos de risco ou viagens) associados de forma independente ao grupo de casos indeterminados;</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Analisar a variação sazonal dos perfis clínicos e da proporção de casos indeterminados ao longo dos diferentes períodos de coleta (setembro/2026, janeiro/2027 e maio/2027);</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Propor, com base nas evidências geradas, um fluxograma de investigação complementar e diretrizes para a vigilância integrada de síndromes febris agudas no município, com foco na ampliação da capacidade diagnóstica para possíveis zoonoses, DTAs e outros agravos.</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4 METODOLOGIA</w:t>
      </w:r>
    </w:p>
    <w:p>
      <w:pPr>
        <w:pStyle w:val="Heading2"/>
        <w:spacing w:after="200" w:before="400" w:line="360" w:lineRule="auto"/>
        <w:jc w:val="left"/>
      </w:pPr>
      <w:r>
        <w:rPr>
          <w:rFonts w:ascii="Times New Roman" w:cs="Times New Roman" w:eastAsia="Times New Roman" w:hAnsi="Times New Roman"/>
          <w:b/>
          <w:bCs/>
          <w:sz w:val="26"/>
          <w:szCs w:val="26"/>
        </w:rPr>
        <w:t xml:space="preserve">4.1 Desenho do Estudo</w:t>
      </w:r>
    </w:p>
    <w:p>
      <w:pPr>
        <w:spacing w:after="200" w:line="360" w:lineRule="auto"/>
        <w:jc w:val="both"/>
      </w:pPr>
      <w:r>
        <w:rPr>
          <w:rFonts w:ascii="Times New Roman" w:cs="Times New Roman" w:eastAsia="Times New Roman" w:hAnsi="Times New Roman"/>
          <w:b w:val="false"/>
          <w:bCs w:val="false"/>
          <w:color w:val="000000"/>
          <w:sz w:val="24"/>
          <w:szCs w:val="24"/>
        </w:rPr>
        <w:t xml:space="preserve">O estudo será uma coorte prospectiva longitudinal. Dois grupos de pacientes notificados serão acompanhados ao longo do tempo para comparar seus desfechos.</w:t>
      </w:r>
    </w:p>
    <w:p>
      <w:pPr>
        <w:pStyle w:val="Heading2"/>
        <w:spacing w:after="200" w:before="400" w:line="360" w:lineRule="auto"/>
        <w:jc w:val="left"/>
      </w:pPr>
      <w:r>
        <w:rPr>
          <w:rFonts w:ascii="Times New Roman" w:cs="Times New Roman" w:eastAsia="Times New Roman" w:hAnsi="Times New Roman"/>
          <w:b/>
          <w:bCs/>
          <w:sz w:val="26"/>
          <w:szCs w:val="26"/>
        </w:rPr>
        <w:t xml:space="preserve">4.2 Cenário e População</w:t>
      </w:r>
    </w:p>
    <w:p>
      <w:pPr>
        <w:spacing w:after="200" w:line="360" w:lineRule="auto"/>
        <w:jc w:val="both"/>
      </w:pPr>
      <w:r>
        <w:rPr>
          <w:rFonts w:ascii="Times New Roman" w:cs="Times New Roman" w:eastAsia="Times New Roman" w:hAnsi="Times New Roman"/>
          <w:b w:val="false"/>
          <w:bCs w:val="false"/>
          <w:color w:val="000000"/>
          <w:sz w:val="24"/>
          <w:szCs w:val="24"/>
        </w:rPr>
        <w:t xml:space="preserve">Será realizado em Orlândia-SP, incluindo todos os moradores notificados por síndrome febril aguda que fizeram teste para dengue (NS1 e/ou IgM) nos períodos definidos.</w:t>
      </w:r>
    </w:p>
    <w:p>
      <w:pPr>
        <w:pStyle w:val="Heading2"/>
        <w:spacing w:after="200" w:before="400" w:line="360" w:lineRule="auto"/>
        <w:jc w:val="left"/>
      </w:pPr>
      <w:r>
        <w:rPr>
          <w:rFonts w:ascii="Times New Roman" w:cs="Times New Roman" w:eastAsia="Times New Roman" w:hAnsi="Times New Roman"/>
          <w:b/>
          <w:bCs/>
          <w:sz w:val="26"/>
          <w:szCs w:val="26"/>
        </w:rPr>
        <w:t xml:space="preserve">4.3 Seleção e Grupos de Estudo</w:t>
      </w:r>
    </w:p>
    <w:p>
      <w:pPr>
        <w:spacing w:after="200" w:line="360" w:lineRule="auto"/>
        <w:jc w:val="both"/>
      </w:pPr>
      <w:r>
        <w:rPr>
          <w:rFonts w:ascii="Times New Roman" w:cs="Times New Roman" w:eastAsia="Times New Roman" w:hAnsi="Times New Roman"/>
          <w:b w:val="false"/>
          <w:bCs w:val="false"/>
          <w:color w:val="000000"/>
          <w:sz w:val="24"/>
          <w:szCs w:val="24"/>
        </w:rPr>
        <w:t xml:space="preserve">Critérios de inclusão: pacientes notificados com síndrome febril aguda e teste processado para dengue.</w:t>
      </w:r>
    </w:p>
    <w:p>
      <w:pPr>
        <w:spacing w:after="200" w:line="360" w:lineRule="auto"/>
        <w:jc w:val="both"/>
      </w:pPr>
      <w:r>
        <w:rPr>
          <w:rFonts w:ascii="Times New Roman" w:cs="Times New Roman" w:eastAsia="Times New Roman" w:hAnsi="Times New Roman"/>
          <w:b w:val="false"/>
          <w:bCs w:val="false"/>
          <w:color w:val="000000"/>
          <w:sz w:val="24"/>
          <w:szCs w:val="24"/>
        </w:rPr>
        <w:t xml:space="preserve">Critérios de exclusão: recusa ao TCLE ou ausência de contato para seguimento.</w:t>
      </w:r>
    </w:p>
    <w:p>
      <w:pPr>
        <w:spacing w:after="200" w:line="360" w:lineRule="auto"/>
        <w:jc w:val="both"/>
      </w:pPr>
      <w:r>
        <w:rPr>
          <w:rFonts w:ascii="Times New Roman" w:cs="Times New Roman" w:eastAsia="Times New Roman" w:hAnsi="Times New Roman"/>
          <w:b w:val="false"/>
          <w:bCs w:val="false"/>
          <w:color w:val="000000"/>
          <w:sz w:val="24"/>
          <w:szCs w:val="24"/>
        </w:rPr>
        <w:t xml:space="preserve">Os participantes serão divididos em:</w:t>
      </w:r>
    </w:p>
    <w:p>
      <w:pPr>
        <w:spacing w:after="160" w:line="360"/>
        <w:ind w:left="720"/>
        <w:jc w:val="both"/>
      </w:pPr>
      <w:r>
        <w:rPr>
          <w:rFonts w:ascii="Times New Roman" w:cs="Times New Roman" w:eastAsia="Times New Roman" w:hAnsi="Times New Roman"/>
          <w:b/>
          <w:bCs/>
          <w:sz w:val="24"/>
          <w:szCs w:val="24"/>
        </w:rPr>
        <w:t xml:space="preserve">Grupo A: </w:t>
      </w:r>
      <w:r>
        <w:rPr>
          <w:rFonts w:ascii="Times New Roman" w:cs="Times New Roman" w:eastAsia="Times New Roman" w:hAnsi="Times New Roman"/>
          <w:sz w:val="24"/>
          <w:szCs w:val="24"/>
        </w:rPr>
        <w:t xml:space="preserve">Dengue Confirmada (teste positivo).</w:t>
      </w:r>
    </w:p>
    <w:p>
      <w:pPr>
        <w:spacing w:after="200" w:line="360"/>
        <w:ind w:left="720"/>
        <w:jc w:val="both"/>
      </w:pPr>
      <w:r>
        <w:rPr>
          <w:rFonts w:ascii="Times New Roman" w:cs="Times New Roman" w:eastAsia="Times New Roman" w:hAnsi="Times New Roman"/>
          <w:b/>
          <w:bCs/>
          <w:sz w:val="24"/>
          <w:szCs w:val="24"/>
        </w:rPr>
        <w:t xml:space="preserve">Grupo B: </w:t>
      </w:r>
      <w:r>
        <w:rPr>
          <w:rFonts w:ascii="Times New Roman" w:cs="Times New Roman" w:eastAsia="Times New Roman" w:hAnsi="Times New Roman"/>
          <w:sz w:val="24"/>
          <w:szCs w:val="24"/>
        </w:rPr>
        <w:t xml:space="preserve">Síndrome Febril Indeterminada (teste negativo ou inconclusivo).</w:t>
      </w:r>
    </w:p>
    <w:p>
      <w:pPr>
        <w:pStyle w:val="Heading2"/>
        <w:spacing w:after="200" w:before="400" w:line="360" w:lineRule="auto"/>
        <w:jc w:val="left"/>
      </w:pPr>
      <w:r>
        <w:rPr>
          <w:rFonts w:ascii="Times New Roman" w:cs="Times New Roman" w:eastAsia="Times New Roman" w:hAnsi="Times New Roman"/>
          <w:b/>
          <w:bCs/>
          <w:sz w:val="26"/>
          <w:szCs w:val="26"/>
        </w:rPr>
        <w:t xml:space="preserve">4.4 Recrutamento e Amostragem</w:t>
      </w:r>
    </w:p>
    <w:p>
      <w:pPr>
        <w:spacing w:after="200" w:line="360" w:lineRule="auto"/>
        <w:jc w:val="both"/>
      </w:pPr>
      <w:r>
        <w:rPr>
          <w:rFonts w:ascii="Times New Roman" w:cs="Times New Roman" w:eastAsia="Times New Roman" w:hAnsi="Times New Roman"/>
          <w:b w:val="false"/>
          <w:bCs w:val="false"/>
          <w:color w:val="000000"/>
          <w:sz w:val="24"/>
          <w:szCs w:val="24"/>
        </w:rPr>
        <w:t xml:space="preserve">O recrutamento ocorrerá em setembro de 2026, janeiro de 2027 e maio de 2027. A amostra será de conveniência, estimada em cerca de 350 pacientes, considerando perdas de seguimento.</w:t>
      </w:r>
    </w:p>
    <w:p>
      <w:pPr>
        <w:pStyle w:val="Heading2"/>
        <w:spacing w:after="200" w:before="400" w:line="360" w:lineRule="auto"/>
        <w:jc w:val="left"/>
      </w:pPr>
      <w:r>
        <w:rPr>
          <w:rFonts w:ascii="Times New Roman" w:cs="Times New Roman" w:eastAsia="Times New Roman" w:hAnsi="Times New Roman"/>
          <w:b/>
          <w:bCs/>
          <w:sz w:val="26"/>
          <w:szCs w:val="26"/>
        </w:rPr>
        <w:t xml:space="preserve">4.5 Coleta de Dados</w:t>
      </w:r>
    </w:p>
    <w:p>
      <w:pPr>
        <w:spacing w:after="200" w:line="360" w:lineRule="auto"/>
        <w:jc w:val="both"/>
      </w:pPr>
      <w:r>
        <w:rPr>
          <w:rFonts w:ascii="Times New Roman" w:cs="Times New Roman" w:eastAsia="Times New Roman" w:hAnsi="Times New Roman"/>
          <w:b w:val="false"/>
          <w:bCs w:val="false"/>
          <w:color w:val="000000"/>
          <w:sz w:val="24"/>
          <w:szCs w:val="24"/>
        </w:rPr>
        <w:t xml:space="preserve">Será utilizado um formulário eletrônico aplicado por telefone ou presencialmente em três momentos:</w:t>
      </w:r>
    </w:p>
    <w:p>
      <w:pPr>
        <w:spacing w:after="160" w:line="360"/>
        <w:ind w:left="720"/>
        <w:jc w:val="both"/>
      </w:pPr>
      <w:r>
        <w:rPr>
          <w:rFonts w:ascii="Times New Roman" w:cs="Times New Roman" w:eastAsia="Times New Roman" w:hAnsi="Times New Roman"/>
          <w:b/>
          <w:bCs/>
          <w:sz w:val="24"/>
          <w:szCs w:val="24"/>
        </w:rPr>
        <w:t xml:space="preserve">T0:</w:t>
      </w:r>
      <w:r>
        <w:rPr>
          <w:rFonts w:ascii="Times New Roman" w:cs="Times New Roman" w:eastAsia="Times New Roman" w:hAnsi="Times New Roman"/>
          <w:sz w:val="24"/>
          <w:szCs w:val="24"/>
        </w:rPr>
        <w:t xml:space="preserve"> após confirmação do caso;</w:t>
      </w:r>
    </w:p>
    <w:p>
      <w:pPr>
        <w:spacing w:after="160" w:line="360"/>
        <w:ind w:left="720"/>
        <w:jc w:val="both"/>
      </w:pPr>
      <w:r>
        <w:rPr>
          <w:rFonts w:ascii="Times New Roman" w:cs="Times New Roman" w:eastAsia="Times New Roman" w:hAnsi="Times New Roman"/>
          <w:b/>
          <w:bCs/>
          <w:sz w:val="24"/>
          <w:szCs w:val="24"/>
        </w:rPr>
        <w:t xml:space="preserve">T10:</w:t>
      </w:r>
      <w:r>
        <w:rPr>
          <w:rFonts w:ascii="Times New Roman" w:cs="Times New Roman" w:eastAsia="Times New Roman" w:hAnsi="Times New Roman"/>
          <w:sz w:val="24"/>
          <w:szCs w:val="24"/>
        </w:rPr>
        <w:t xml:space="preserve"> evolução clínica após 10 dias;</w:t>
      </w:r>
    </w:p>
    <w:p>
      <w:pPr>
        <w:spacing w:after="200" w:line="360"/>
        <w:ind w:left="720"/>
        <w:jc w:val="both"/>
      </w:pPr>
      <w:r>
        <w:rPr>
          <w:rFonts w:ascii="Times New Roman" w:cs="Times New Roman" w:eastAsia="Times New Roman" w:hAnsi="Times New Roman"/>
          <w:b/>
          <w:bCs/>
          <w:sz w:val="24"/>
          <w:szCs w:val="24"/>
        </w:rPr>
        <w:t xml:space="preserve">T30:</w:t>
      </w:r>
      <w:r>
        <w:rPr>
          <w:rFonts w:ascii="Times New Roman" w:cs="Times New Roman" w:eastAsia="Times New Roman" w:hAnsi="Times New Roman"/>
          <w:sz w:val="24"/>
          <w:szCs w:val="24"/>
        </w:rPr>
        <w:t xml:space="preserve"> sintomas tardios, retorno às atividades e custos.</w:t>
      </w:r>
    </w:p>
    <w:p>
      <w:pPr>
        <w:spacing w:after="200" w:line="360" w:lineRule="auto"/>
        <w:jc w:val="both"/>
      </w:pPr>
      <w:r>
        <w:rPr>
          <w:rFonts w:ascii="Times New Roman" w:cs="Times New Roman" w:eastAsia="Times New Roman" w:hAnsi="Times New Roman"/>
          <w:b w:val="false"/>
          <w:bCs w:val="false"/>
          <w:color w:val="000000"/>
          <w:sz w:val="24"/>
          <w:szCs w:val="24"/>
        </w:rPr>
        <w:t xml:space="preserve">Dados laboratoriais serão extraídos do sistema de vigilância.</w:t>
      </w:r>
    </w:p>
    <w:p>
      <w:pPr>
        <w:pStyle w:val="Heading2"/>
        <w:spacing w:after="200" w:before="400" w:line="360" w:lineRule="auto"/>
        <w:jc w:val="left"/>
      </w:pPr>
      <w:r>
        <w:rPr>
          <w:rFonts w:ascii="Times New Roman" w:cs="Times New Roman" w:eastAsia="Times New Roman" w:hAnsi="Times New Roman"/>
          <w:b/>
          <w:bCs/>
          <w:sz w:val="26"/>
          <w:szCs w:val="26"/>
        </w:rPr>
        <w:t xml:space="preserve">4.6 Variáveis</w:t>
      </w:r>
    </w:p>
    <w:p>
      <w:pPr>
        <w:spacing w:after="160" w:line="360"/>
        <w:jc w:val="both"/>
      </w:pPr>
      <w:r>
        <w:rPr>
          <w:rFonts w:ascii="Times New Roman" w:cs="Times New Roman" w:eastAsia="Times New Roman" w:hAnsi="Times New Roman"/>
          <w:b/>
          <w:bCs/>
          <w:sz w:val="24"/>
          <w:szCs w:val="24"/>
        </w:rPr>
        <w:t xml:space="preserve">Desfechos:</w:t>
      </w:r>
      <w:r>
        <w:rPr>
          <w:rFonts w:ascii="Times New Roman" w:cs="Times New Roman" w:eastAsia="Times New Roman" w:hAnsi="Times New Roman"/>
          <w:sz w:val="24"/>
          <w:szCs w:val="24"/>
        </w:rPr>
        <w:t xml:space="preserve"> dias afastados, custos diretos/indiretos, sintomas persistentes, reconsulta/internação.</w:t>
      </w:r>
    </w:p>
    <w:p>
      <w:pPr>
        <w:spacing w:after="160" w:line="360"/>
        <w:jc w:val="both"/>
      </w:pPr>
      <w:r>
        <w:rPr>
          <w:rFonts w:ascii="Times New Roman" w:cs="Times New Roman" w:eastAsia="Times New Roman" w:hAnsi="Times New Roman"/>
          <w:b/>
          <w:bCs/>
          <w:sz w:val="24"/>
          <w:szCs w:val="24"/>
        </w:rPr>
        <w:t xml:space="preserve">Variável principal:</w:t>
      </w:r>
      <w:r>
        <w:rPr>
          <w:rFonts w:ascii="Times New Roman" w:cs="Times New Roman" w:eastAsia="Times New Roman" w:hAnsi="Times New Roman"/>
          <w:sz w:val="24"/>
          <w:szCs w:val="24"/>
        </w:rPr>
        <w:t xml:space="preserve"> grupo A ou B.</w:t>
      </w:r>
    </w:p>
    <w:p>
      <w:pPr>
        <w:spacing w:after="160" w:line="360"/>
        <w:jc w:val="both"/>
      </w:pPr>
      <w:r>
        <w:rPr>
          <w:rFonts w:ascii="Times New Roman" w:cs="Times New Roman" w:eastAsia="Times New Roman" w:hAnsi="Times New Roman"/>
          <w:b/>
          <w:bCs/>
          <w:sz w:val="24"/>
          <w:szCs w:val="24"/>
        </w:rPr>
        <w:t xml:space="preserve">Clínicas/Epidemiológicas:</w:t>
      </w:r>
      <w:r>
        <w:rPr>
          <w:rFonts w:ascii="Times New Roman" w:cs="Times New Roman" w:eastAsia="Times New Roman" w:hAnsi="Times New Roman"/>
          <w:sz w:val="24"/>
          <w:szCs w:val="24"/>
        </w:rPr>
        <w:t xml:space="preserve"> sintomas, comorbidades, histórico de dengue.</w:t>
      </w:r>
    </w:p>
    <w:p>
      <w:pPr>
        <w:spacing w:after="200" w:line="360"/>
        <w:jc w:val="both"/>
      </w:pPr>
      <w:r>
        <w:rPr>
          <w:rFonts w:ascii="Times New Roman" w:cs="Times New Roman" w:eastAsia="Times New Roman" w:hAnsi="Times New Roman"/>
          <w:b/>
          <w:bCs/>
          <w:sz w:val="24"/>
          <w:szCs w:val="24"/>
        </w:rPr>
        <w:t xml:space="preserve">Exposição (ecossistema da saúde):</w:t>
      </w:r>
      <w:r>
        <w:rPr>
          <w:rFonts w:ascii="Times New Roman" w:cs="Times New Roman" w:eastAsia="Times New Roman" w:hAnsi="Times New Roman"/>
          <w:sz w:val="24"/>
          <w:szCs w:val="24"/>
        </w:rPr>
        <w:t xml:space="preserve"> contato com animais, atividades rurais, alimentos de risco, viagens.</w:t>
      </w:r>
    </w:p>
    <w:p>
      <w:pPr>
        <w:pStyle w:val="Heading2"/>
        <w:spacing w:after="200" w:before="400" w:line="360" w:lineRule="auto"/>
        <w:jc w:val="left"/>
      </w:pPr>
      <w:r>
        <w:rPr>
          <w:rFonts w:ascii="Times New Roman" w:cs="Times New Roman" w:eastAsia="Times New Roman" w:hAnsi="Times New Roman"/>
          <w:b/>
          <w:bCs/>
          <w:sz w:val="26"/>
          <w:szCs w:val="26"/>
        </w:rPr>
        <w:t xml:space="preserve">4.7 Processo e Logística</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Identificação:</w:t>
      </w:r>
      <w:r>
        <w:rPr>
          <w:rFonts w:ascii="Times New Roman" w:cs="Times New Roman" w:eastAsia="Times New Roman" w:hAnsi="Times New Roman"/>
          <w:sz w:val="24"/>
          <w:szCs w:val="24"/>
        </w:rPr>
        <w:t xml:space="preserve"> Diariamente, a pesquisa receberá da vigilância a lista de casos notificados e seus resultados laboratoriais.</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Contato e Consentimento:</w:t>
      </w:r>
      <w:r>
        <w:rPr>
          <w:rFonts w:ascii="Times New Roman" w:cs="Times New Roman" w:eastAsia="Times New Roman" w:hAnsi="Times New Roman"/>
          <w:sz w:val="24"/>
          <w:szCs w:val="24"/>
        </w:rPr>
        <w:t xml:space="preserve"> A equipe de pesquisa entrará em contato, explicará o estudo e obterá o Consentimento Livre e Esclarecido (TCLE).</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Entrevistas:</w:t>
      </w:r>
      <w:r>
        <w:rPr>
          <w:rFonts w:ascii="Times New Roman" w:cs="Times New Roman" w:eastAsia="Times New Roman" w:hAnsi="Times New Roman"/>
          <w:sz w:val="24"/>
          <w:szCs w:val="24"/>
        </w:rPr>
        <w:t xml:space="preserve"> Aplicação do formulário T0. Os contatos para T10 e T30 serão agendados.</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Armazenamento:</w:t>
      </w:r>
      <w:r>
        <w:rPr>
          <w:rFonts w:ascii="Times New Roman" w:cs="Times New Roman" w:eastAsia="Times New Roman" w:hAnsi="Times New Roman"/>
          <w:sz w:val="24"/>
          <w:szCs w:val="24"/>
        </w:rPr>
        <w:t xml:space="preserve"> Os dados serão armazenados em plataforma segura, com acesso restrito, em conformidade com a LGPD.</w:t>
      </w:r>
    </w:p>
    <w:p>
      <w:pPr>
        <w:pStyle w:val="Heading2"/>
        <w:spacing w:after="200" w:before="400" w:line="360" w:lineRule="auto"/>
        <w:jc w:val="left"/>
      </w:pPr>
      <w:r>
        <w:rPr>
          <w:rFonts w:ascii="Times New Roman" w:cs="Times New Roman" w:eastAsia="Times New Roman" w:hAnsi="Times New Roman"/>
          <w:b/>
          <w:bCs/>
          <w:sz w:val="26"/>
          <w:szCs w:val="26"/>
        </w:rPr>
        <w:t xml:space="preserve">4.8 Plano de Análise de Dados</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Análise Descritiva:</w:t>
      </w:r>
      <w:r>
        <w:rPr>
          <w:rFonts w:ascii="Times New Roman" w:cs="Times New Roman" w:eastAsia="Times New Roman" w:hAnsi="Times New Roman"/>
          <w:sz w:val="24"/>
          <w:szCs w:val="24"/>
        </w:rPr>
        <w:t xml:space="preserve"> Frequências, medidas de tendência central/dispersão, para caracterizar a população total e cada grupo.</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Análise Comparativa Bivariada:</w:t>
      </w:r>
      <w:r>
        <w:rPr>
          <w:rFonts w:ascii="Times New Roman" w:cs="Times New Roman" w:eastAsia="Times New Roman" w:hAnsi="Times New Roman"/>
          <w:sz w:val="24"/>
          <w:szCs w:val="24"/>
        </w:rPr>
        <w:t xml:space="preserve"> Testes qui-quadrado, t de Student ou Mann-Whitney para comparar grupos A e B em relação aos desfechos clínicos, socioeconômicos e perfis de exposição.</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Análise Multivariada:</w:t>
      </w:r>
      <w:r>
        <w:rPr>
          <w:rFonts w:ascii="Times New Roman" w:cs="Times New Roman" w:eastAsia="Times New Roman" w:hAnsi="Times New Roman"/>
          <w:sz w:val="24"/>
          <w:szCs w:val="24"/>
        </w:rPr>
        <w:t xml:space="preserve"> Modelos de regressão logística para identificar fatores (sintomas, exposições) associados de forma independente ao Grupo B (casos indeterminados), controlando para variáveis de confusão (ex.: idade, sexo).</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Análise de Sazonalidade:</w:t>
      </w:r>
      <w:r>
        <w:rPr>
          <w:rFonts w:ascii="Times New Roman" w:cs="Times New Roman" w:eastAsia="Times New Roman" w:hAnsi="Times New Roman"/>
          <w:sz w:val="24"/>
          <w:szCs w:val="24"/>
        </w:rPr>
        <w:t xml:space="preserve"> Comparação das características dos casos e da proporção Grupo A/Grupo B entre os três períodos de coleta (setembro/2026, janeiro/2027 e maio/2027).</w:t>
      </w:r>
    </w:p>
    <w:p>
      <w:pPr>
        <w:pStyle w:val="Heading2"/>
        <w:spacing w:after="200" w:before="400" w:line="360" w:lineRule="auto"/>
        <w:jc w:val="left"/>
      </w:pPr>
      <w:r>
        <w:rPr>
          <w:rFonts w:ascii="Times New Roman" w:cs="Times New Roman" w:eastAsia="Times New Roman" w:hAnsi="Times New Roman"/>
          <w:b/>
          <w:bCs/>
          <w:sz w:val="26"/>
          <w:szCs w:val="26"/>
        </w:rPr>
        <w:t xml:space="preserve">4.9 Aspectos Éticos</w:t>
      </w:r>
    </w:p>
    <w:p>
      <w:pPr>
        <w:spacing w:after="200" w:line="360" w:lineRule="auto"/>
        <w:jc w:val="both"/>
      </w:pPr>
      <w:r>
        <w:rPr>
          <w:rFonts w:ascii="Times New Roman" w:cs="Times New Roman" w:eastAsia="Times New Roman" w:hAnsi="Times New Roman"/>
          <w:b w:val="false"/>
          <w:bCs w:val="false"/>
          <w:color w:val="000000"/>
          <w:sz w:val="24"/>
          <w:szCs w:val="24"/>
        </w:rPr>
        <w:t xml:space="preserve">O projeto será submetido ao Comitê de Ética em Pesquisa (CEP) do Instituto Butantan. Será garantido o anonimato na divulgação dos resultados, o acesso aos dados apenas pela equipe e a liberdade de desistência a qualquer momento. A coleta de dados somente se iniciará após a aprovação formal do CEP.</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5 ETAPAS DE EXECUÇÃO</w:t>
      </w:r>
    </w:p>
    <w:p>
      <w:pPr>
        <w:spacing w:after="200" w:line="360" w:lineRule="auto"/>
        <w:jc w:val="both"/>
      </w:pPr>
      <w:r>
        <w:rPr>
          <w:rFonts w:ascii="Times New Roman" w:cs="Times New Roman" w:eastAsia="Times New Roman" w:hAnsi="Times New Roman"/>
          <w:b w:val="false"/>
          <w:bCs w:val="false"/>
          <w:color w:val="000000"/>
          <w:sz w:val="24"/>
          <w:szCs w:val="24"/>
        </w:rPr>
        <w:t xml:space="preserve">O desenvolvimento do projeto será estruturado em cinco fases sequenciais e integradas, com integração contínua por meio de reuniões de acompanhamento quinzenais (virtuais ou presenciais) entre orientadora e aluno.</w:t>
      </w:r>
    </w:p>
    <w:p>
      <w:pPr>
        <w:spacing w:after="0" w:line="240"/>
      </w:pPr>
      <w:r>
        <w:t xml:space="preserve"/>
      </w:r>
    </w:p>
    <w:p>
      <w:pPr>
        <w:pBdr>
          <w:bottom w:val="single" w:color="1F3864" w:sz="4" w:space="4"/>
        </w:pBdr>
        <w:spacing w:after="120" w:before="240" w:line="360"/>
        <w:jc w:val="left"/>
      </w:pPr>
      <w:r>
        <w:rPr>
          <w:rFonts w:ascii="Times New Roman" w:cs="Times New Roman" w:eastAsia="Times New Roman" w:hAnsi="Times New Roman"/>
          <w:b/>
          <w:bCs/>
          <w:color w:val="1F3864"/>
          <w:sz w:val="26"/>
          <w:szCs w:val="26"/>
        </w:rPr>
        <w:t xml:space="preserve">FASE 1 — PREPARAÇÃO E APROVAÇÃO ÉTICA</w:t>
      </w:r>
    </w:p>
    <w:p>
      <w:pPr>
        <w:spacing w:after="160" w:line="300"/>
        <w:jc w:val="both"/>
      </w:pPr>
      <w:r>
        <w:rPr>
          <w:rFonts w:ascii="Times New Roman" w:cs="Times New Roman" w:eastAsia="Times New Roman" w:hAnsi="Times New Roman"/>
          <w:i/>
          <w:iCs/>
          <w:color w:val="555555"/>
          <w:sz w:val="22"/>
          <w:szCs w:val="22"/>
        </w:rPr>
        <w:t xml:space="preserve">Duração estimada: junho a agosto de 2026 (3 meses)</w:t>
      </w:r>
    </w:p>
    <w:p>
      <w:pPr>
        <w:spacing w:after="160" w:line="360"/>
        <w:jc w:val="both"/>
      </w:pPr>
      <w:r>
        <w:rPr>
          <w:rFonts w:ascii="Times New Roman" w:cs="Times New Roman" w:eastAsia="Times New Roman" w:hAnsi="Times New Roman"/>
          <w:b/>
          <w:bCs/>
          <w:sz w:val="24"/>
          <w:szCs w:val="24"/>
        </w:rPr>
        <w:t xml:space="preserve">Locais: </w:t>
      </w:r>
      <w:r>
        <w:rPr>
          <w:rFonts w:ascii="Times New Roman" w:cs="Times New Roman" w:eastAsia="Times New Roman" w:hAnsi="Times New Roman"/>
          <w:sz w:val="24"/>
          <w:szCs w:val="24"/>
        </w:rPr>
        <w:t xml:space="preserve">Instituto Butantan (orientação) e Secretaria Municipal de Saúde de Orlândia.</w:t>
      </w:r>
    </w:p>
    <w:p>
      <w:pPr>
        <w:spacing w:after="160" w:line="360"/>
        <w:jc w:val="both"/>
      </w:pPr>
      <w:r>
        <w:rPr>
          <w:rFonts w:ascii="Times New Roman" w:cs="Times New Roman" w:eastAsia="Times New Roman" w:hAnsi="Times New Roman"/>
          <w:b/>
          <w:bCs/>
          <w:sz w:val="24"/>
          <w:szCs w:val="24"/>
        </w:rPr>
        <w:t xml:space="preserve">Metodologias: </w:t>
      </w:r>
      <w:r>
        <w:rPr>
          <w:rFonts w:ascii="Times New Roman" w:cs="Times New Roman" w:eastAsia="Times New Roman" w:hAnsi="Times New Roman"/>
          <w:sz w:val="24"/>
          <w:szCs w:val="24"/>
        </w:rPr>
        <w:t xml:space="preserve">Revisão sistemática de literatura, elaboração de instrumentos de pesquisa, submissão ética ao CEP.</w:t>
      </w:r>
    </w:p>
    <w:p>
      <w:pPr>
        <w:spacing w:after="160" w:line="360"/>
        <w:ind w:left="720"/>
        <w:jc w:val="both"/>
      </w:pPr>
      <w:r>
        <w:rPr>
          <w:rFonts w:ascii="Times New Roman" w:cs="Times New Roman" w:eastAsia="Times New Roman" w:hAnsi="Times New Roman"/>
          <w:b/>
          <w:bCs/>
          <w:sz w:val="24"/>
          <w:szCs w:val="24"/>
        </w:rPr>
        <w:t xml:space="preserve">Instituto Butantan/Orientadora: </w:t>
      </w:r>
      <w:r>
        <w:rPr>
          <w:rFonts w:ascii="Times New Roman" w:cs="Times New Roman" w:eastAsia="Times New Roman" w:hAnsi="Times New Roman"/>
          <w:sz w:val="24"/>
          <w:szCs w:val="24"/>
        </w:rPr>
        <w:t xml:space="preserve">supervisão científica na elaboração do protocolo completo, revisão dos instrumentos de coleta (formulários eletrônicos, TCLE), orientação para submissão ao CEP, treinamento do aluno em métodos de pesquisa.</w:t>
      </w:r>
    </w:p>
    <w:p>
      <w:pPr>
        <w:spacing w:after="240" w:line="360"/>
        <w:ind w:left="720"/>
        <w:jc w:val="both"/>
      </w:pPr>
      <w:r>
        <w:rPr>
          <w:rFonts w:ascii="Times New Roman" w:cs="Times New Roman" w:eastAsia="Times New Roman" w:hAnsi="Times New Roman"/>
          <w:b/>
          <w:bCs/>
          <w:sz w:val="24"/>
          <w:szCs w:val="24"/>
        </w:rPr>
        <w:t xml:space="preserve">SMS Orlândia/Aluno: </w:t>
      </w:r>
      <w:r>
        <w:rPr>
          <w:rFonts w:ascii="Times New Roman" w:cs="Times New Roman" w:eastAsia="Times New Roman" w:hAnsi="Times New Roman"/>
          <w:sz w:val="24"/>
          <w:szCs w:val="24"/>
        </w:rPr>
        <w:t xml:space="preserve">coleta de dados preliminares do sistema municipal, adaptação contextual do protocolo, organização da logística de contato com pacientes, preparação da infraestrutura de armazenamento de dados em conformidade com a LGPD.</w:t>
      </w:r>
    </w:p>
    <w:p>
      <w:pPr>
        <w:pBdr>
          <w:bottom w:val="single" w:color="1F3864" w:sz="4" w:space="4"/>
        </w:pBdr>
        <w:spacing w:after="120" w:before="240" w:line="360"/>
        <w:jc w:val="left"/>
      </w:pPr>
      <w:r>
        <w:rPr>
          <w:rFonts w:ascii="Times New Roman" w:cs="Times New Roman" w:eastAsia="Times New Roman" w:hAnsi="Times New Roman"/>
          <w:b/>
          <w:bCs/>
          <w:color w:val="1F3864"/>
          <w:sz w:val="26"/>
          <w:szCs w:val="26"/>
        </w:rPr>
        <w:t xml:space="preserve">FASE 2 — RECRUTAMENTO E COLETA LONGITUDINAL DE DADOS</w:t>
      </w:r>
    </w:p>
    <w:p>
      <w:pPr>
        <w:spacing w:after="160" w:line="300"/>
        <w:jc w:val="both"/>
      </w:pPr>
      <w:r>
        <w:rPr>
          <w:rFonts w:ascii="Times New Roman" w:cs="Times New Roman" w:eastAsia="Times New Roman" w:hAnsi="Times New Roman"/>
          <w:i/>
          <w:iCs/>
          <w:color w:val="555555"/>
          <w:sz w:val="22"/>
          <w:szCs w:val="22"/>
        </w:rPr>
        <w:t xml:space="preserve">Duração: setembro de 2026 a maio de 2027 (9 meses — coleta nos meses de setembro/2026, janeiro/2027 e maio/2027)</w:t>
      </w:r>
    </w:p>
    <w:p>
      <w:pPr>
        <w:spacing w:after="160" w:line="360"/>
        <w:jc w:val="both"/>
      </w:pPr>
      <w:r>
        <w:rPr>
          <w:rFonts w:ascii="Times New Roman" w:cs="Times New Roman" w:eastAsia="Times New Roman" w:hAnsi="Times New Roman"/>
          <w:b/>
          <w:bCs/>
          <w:sz w:val="24"/>
          <w:szCs w:val="24"/>
        </w:rPr>
        <w:t xml:space="preserve">Locais: </w:t>
      </w:r>
      <w:r>
        <w:rPr>
          <w:rFonts w:ascii="Times New Roman" w:cs="Times New Roman" w:eastAsia="Times New Roman" w:hAnsi="Times New Roman"/>
          <w:sz w:val="24"/>
          <w:szCs w:val="24"/>
        </w:rPr>
        <w:t xml:space="preserve">Secretaria Municipal de Saúde de Orlândia (operacionalização) e domicílios/unidades de saúde (entrevistas).</w:t>
      </w:r>
    </w:p>
    <w:p>
      <w:pPr>
        <w:spacing w:after="160" w:line="360"/>
        <w:jc w:val="both"/>
      </w:pPr>
      <w:r>
        <w:rPr>
          <w:rFonts w:ascii="Times New Roman" w:cs="Times New Roman" w:eastAsia="Times New Roman" w:hAnsi="Times New Roman"/>
          <w:b/>
          <w:bCs/>
          <w:sz w:val="24"/>
          <w:szCs w:val="24"/>
        </w:rPr>
        <w:t xml:space="preserve">Metodologias: </w:t>
      </w:r>
      <w:r>
        <w:rPr>
          <w:rFonts w:ascii="Times New Roman" w:cs="Times New Roman" w:eastAsia="Times New Roman" w:hAnsi="Times New Roman"/>
          <w:sz w:val="24"/>
          <w:szCs w:val="24"/>
        </w:rPr>
        <w:t xml:space="preserve">Amostragem de conveniência prospectiva, entrevistas estruturadas por formulário eletrônico (presencial ou telefônica), acompanhamento longitudinal em três momentos (T0, T10, T30).</w:t>
      </w:r>
    </w:p>
    <w:p>
      <w:pPr>
        <w:spacing w:after="160" w:line="360"/>
        <w:ind w:left="720"/>
        <w:jc w:val="both"/>
      </w:pPr>
      <w:r>
        <w:rPr>
          <w:rFonts w:ascii="Times New Roman" w:cs="Times New Roman" w:eastAsia="Times New Roman" w:hAnsi="Times New Roman"/>
          <w:b/>
          <w:bCs/>
          <w:sz w:val="24"/>
          <w:szCs w:val="24"/>
        </w:rPr>
        <w:t xml:space="preserve">SMS Orlândia/Aluno: </w:t>
      </w:r>
      <w:r>
        <w:rPr>
          <w:rFonts w:ascii="Times New Roman" w:cs="Times New Roman" w:eastAsia="Times New Roman" w:hAnsi="Times New Roman"/>
          <w:sz w:val="24"/>
          <w:szCs w:val="24"/>
        </w:rPr>
        <w:t xml:space="preserve">execução diária do fluxo operacional — identificação dos casos notificados, contato com pacientes, obtenção do TCLE, aplicação das entrevistas nos três momentos, registro imediato e seguro dos dados, solução de problemas logísticos no campo.</w:t>
      </w:r>
    </w:p>
    <w:p>
      <w:pPr>
        <w:spacing w:after="240" w:line="360"/>
        <w:ind w:left="720"/>
        <w:jc w:val="both"/>
      </w:pPr>
      <w:r>
        <w:rPr>
          <w:rFonts w:ascii="Times New Roman" w:cs="Times New Roman" w:eastAsia="Times New Roman" w:hAnsi="Times New Roman"/>
          <w:b/>
          <w:bCs/>
          <w:sz w:val="24"/>
          <w:szCs w:val="24"/>
        </w:rPr>
        <w:t xml:space="preserve">Instituto Butantan/Orientadora: </w:t>
      </w:r>
      <w:r>
        <w:rPr>
          <w:rFonts w:ascii="Times New Roman" w:cs="Times New Roman" w:eastAsia="Times New Roman" w:hAnsi="Times New Roman"/>
          <w:sz w:val="24"/>
          <w:szCs w:val="24"/>
        </w:rPr>
        <w:t xml:space="preserve">monitoramento remoto da qualidade da coleta por meio de checagens periódicas dos bancos de dados, suporte metodológico para ajustes finos no instrumento, resolução de dúvidas éticas ou técnicas.</w:t>
      </w:r>
    </w:p>
    <w:p>
      <w:pPr>
        <w:pBdr>
          <w:bottom w:val="single" w:color="1F3864" w:sz="4" w:space="4"/>
        </w:pBdr>
        <w:spacing w:after="120" w:before="240" w:line="360"/>
        <w:jc w:val="left"/>
      </w:pPr>
      <w:r>
        <w:rPr>
          <w:rFonts w:ascii="Times New Roman" w:cs="Times New Roman" w:eastAsia="Times New Roman" w:hAnsi="Times New Roman"/>
          <w:b/>
          <w:bCs/>
          <w:color w:val="1F3864"/>
          <w:sz w:val="26"/>
          <w:szCs w:val="26"/>
        </w:rPr>
        <w:t xml:space="preserve">FASE 3 — DIGITAÇÃO, LIMPEZA E ANÁLISE PRELIMINAR</w:t>
      </w:r>
    </w:p>
    <w:p>
      <w:pPr>
        <w:spacing w:after="160" w:line="300"/>
        <w:jc w:val="both"/>
      </w:pPr>
      <w:r>
        <w:rPr>
          <w:rFonts w:ascii="Times New Roman" w:cs="Times New Roman" w:eastAsia="Times New Roman" w:hAnsi="Times New Roman"/>
          <w:i/>
          <w:iCs/>
          <w:color w:val="555555"/>
          <w:sz w:val="22"/>
          <w:szCs w:val="22"/>
        </w:rPr>
        <w:t xml:space="preserve">Duração estimada: junho a agosto de 2027 (3 meses)</w:t>
      </w:r>
    </w:p>
    <w:p>
      <w:pPr>
        <w:spacing w:after="160" w:line="360"/>
        <w:jc w:val="both"/>
      </w:pPr>
      <w:r>
        <w:rPr>
          <w:rFonts w:ascii="Times New Roman" w:cs="Times New Roman" w:eastAsia="Times New Roman" w:hAnsi="Times New Roman"/>
          <w:b/>
          <w:bCs/>
          <w:sz w:val="24"/>
          <w:szCs w:val="24"/>
        </w:rPr>
        <w:t xml:space="preserve">Locais: </w:t>
      </w:r>
      <w:r>
        <w:rPr>
          <w:rFonts w:ascii="Times New Roman" w:cs="Times New Roman" w:eastAsia="Times New Roman" w:hAnsi="Times New Roman"/>
          <w:sz w:val="24"/>
          <w:szCs w:val="24"/>
        </w:rPr>
        <w:t xml:space="preserve">Instituto Butantan (análise) e Secretaria Municipal de Saúde de Orlândia (consolidação).</w:t>
      </w:r>
    </w:p>
    <w:p>
      <w:pPr>
        <w:spacing w:after="160" w:line="360"/>
        <w:jc w:val="both"/>
      </w:pPr>
      <w:r>
        <w:rPr>
          <w:rFonts w:ascii="Times New Roman" w:cs="Times New Roman" w:eastAsia="Times New Roman" w:hAnsi="Times New Roman"/>
          <w:b/>
          <w:bCs/>
          <w:sz w:val="24"/>
          <w:szCs w:val="24"/>
        </w:rPr>
        <w:t xml:space="preserve">Metodologias: </w:t>
      </w:r>
      <w:r>
        <w:rPr>
          <w:rFonts w:ascii="Times New Roman" w:cs="Times New Roman" w:eastAsia="Times New Roman" w:hAnsi="Times New Roman"/>
          <w:sz w:val="24"/>
          <w:szCs w:val="24"/>
        </w:rPr>
        <w:t xml:space="preserve">Estatística descritiva (frequências, medidas de tendência central), análise bivariada (testes de associação como qui-quadrado, t-teste), uso de softwares como R, SPSS ou Stata.</w:t>
      </w:r>
    </w:p>
    <w:p>
      <w:pPr>
        <w:spacing w:after="160" w:line="360"/>
        <w:ind w:left="720"/>
        <w:jc w:val="both"/>
      </w:pPr>
      <w:r>
        <w:rPr>
          <w:rFonts w:ascii="Times New Roman" w:cs="Times New Roman" w:eastAsia="Times New Roman" w:hAnsi="Times New Roman"/>
          <w:b/>
          <w:bCs/>
          <w:sz w:val="24"/>
          <w:szCs w:val="24"/>
        </w:rPr>
        <w:t xml:space="preserve">Instituto Butantan/Orientadora: </w:t>
      </w:r>
      <w:r>
        <w:rPr>
          <w:rFonts w:ascii="Times New Roman" w:cs="Times New Roman" w:eastAsia="Times New Roman" w:hAnsi="Times New Roman"/>
          <w:sz w:val="24"/>
          <w:szCs w:val="24"/>
        </w:rPr>
        <w:t xml:space="preserve">orientação detalhada sobre técnicas de análise estatística, supervisão direta na criação do banco de dados final e execução das análises preliminares, interpretação inicial dos resultados.</w:t>
      </w:r>
    </w:p>
    <w:p>
      <w:pPr>
        <w:spacing w:after="240" w:line="360"/>
        <w:ind w:left="720"/>
        <w:jc w:val="both"/>
      </w:pPr>
      <w:r>
        <w:rPr>
          <w:rFonts w:ascii="Times New Roman" w:cs="Times New Roman" w:eastAsia="Times New Roman" w:hAnsi="Times New Roman"/>
          <w:b/>
          <w:bCs/>
          <w:sz w:val="24"/>
          <w:szCs w:val="24"/>
        </w:rPr>
        <w:t xml:space="preserve">SMS Orlândia/Aluno: </w:t>
      </w:r>
      <w:r>
        <w:rPr>
          <w:rFonts w:ascii="Times New Roman" w:cs="Times New Roman" w:eastAsia="Times New Roman" w:hAnsi="Times New Roman"/>
          <w:sz w:val="24"/>
          <w:szCs w:val="24"/>
        </w:rPr>
        <w:t xml:space="preserve">consolidação e organização final do banco de dados, execução das análises sob supervisão, tabulação inicial dos resultados para discussão conjunta.</w:t>
      </w:r>
    </w:p>
    <w:p>
      <w:pPr>
        <w:pBdr>
          <w:bottom w:val="single" w:color="1F3864" w:sz="4" w:space="4"/>
        </w:pBdr>
        <w:spacing w:after="120" w:before="240" w:line="360"/>
        <w:jc w:val="left"/>
      </w:pPr>
      <w:r>
        <w:rPr>
          <w:rFonts w:ascii="Times New Roman" w:cs="Times New Roman" w:eastAsia="Times New Roman" w:hAnsi="Times New Roman"/>
          <w:b/>
          <w:bCs/>
          <w:color w:val="1F3864"/>
          <w:sz w:val="26"/>
          <w:szCs w:val="26"/>
        </w:rPr>
        <w:t xml:space="preserve">FASE 4 — ANÁLISE AVANÇADA E ELABORAÇÃO DO PRODUTO</w:t>
      </w:r>
    </w:p>
    <w:p>
      <w:pPr>
        <w:spacing w:after="160" w:line="300"/>
        <w:jc w:val="both"/>
      </w:pPr>
      <w:r>
        <w:rPr>
          <w:rFonts w:ascii="Times New Roman" w:cs="Times New Roman" w:eastAsia="Times New Roman" w:hAnsi="Times New Roman"/>
          <w:i/>
          <w:iCs/>
          <w:color w:val="555555"/>
          <w:sz w:val="22"/>
          <w:szCs w:val="22"/>
        </w:rPr>
        <w:t xml:space="preserve">Duração estimada: setembro a dezembro de 2027 (4 meses)</w:t>
      </w:r>
    </w:p>
    <w:p>
      <w:pPr>
        <w:spacing w:after="160" w:line="360"/>
        <w:jc w:val="both"/>
      </w:pPr>
      <w:r>
        <w:rPr>
          <w:rFonts w:ascii="Times New Roman" w:cs="Times New Roman" w:eastAsia="Times New Roman" w:hAnsi="Times New Roman"/>
          <w:b/>
          <w:bCs/>
          <w:sz w:val="24"/>
          <w:szCs w:val="24"/>
        </w:rPr>
        <w:t xml:space="preserve">Locais: </w:t>
      </w:r>
      <w:r>
        <w:rPr>
          <w:rFonts w:ascii="Times New Roman" w:cs="Times New Roman" w:eastAsia="Times New Roman" w:hAnsi="Times New Roman"/>
          <w:sz w:val="24"/>
          <w:szCs w:val="24"/>
        </w:rPr>
        <w:t xml:space="preserve">Instituto Butantan e SMS de Orlândia (análise e síntese).</w:t>
      </w:r>
    </w:p>
    <w:p>
      <w:pPr>
        <w:spacing w:after="160" w:line="360"/>
        <w:jc w:val="both"/>
      </w:pPr>
      <w:r>
        <w:rPr>
          <w:rFonts w:ascii="Times New Roman" w:cs="Times New Roman" w:eastAsia="Times New Roman" w:hAnsi="Times New Roman"/>
          <w:b/>
          <w:bCs/>
          <w:sz w:val="24"/>
          <w:szCs w:val="24"/>
        </w:rPr>
        <w:t xml:space="preserve">Metodologias: </w:t>
      </w:r>
      <w:r>
        <w:rPr>
          <w:rFonts w:ascii="Times New Roman" w:cs="Times New Roman" w:eastAsia="Times New Roman" w:hAnsi="Times New Roman"/>
          <w:sz w:val="24"/>
          <w:szCs w:val="24"/>
        </w:rPr>
        <w:t xml:space="preserve">Análise estatística multivariada (regressão logística), análise de sazonalidade, desenho de fluxogramas e diretrizes baseadas em evidências (</w:t>
      </w:r>
      <w:r>
        <w:rPr>
          <w:rFonts w:ascii="Times New Roman" w:cs="Times New Roman" w:eastAsia="Times New Roman" w:hAnsi="Times New Roman"/>
          <w:b w:val="false"/>
          <w:bCs w:val="false"/>
          <w:i/>
          <w:iCs/>
          <w:sz w:val="24"/>
          <w:szCs w:val="24"/>
        </w:rPr>
        <w:t xml:space="preserve">Evidence-based guideline development</w:t>
      </w:r>
      <w:r>
        <w:rPr>
          <w:rFonts w:ascii="Times New Roman" w:cs="Times New Roman" w:eastAsia="Times New Roman" w:hAnsi="Times New Roman"/>
          <w:sz w:val="24"/>
          <w:szCs w:val="24"/>
        </w:rPr>
        <w:t xml:space="preserve">).</w:t>
      </w:r>
    </w:p>
    <w:p>
      <w:pPr>
        <w:spacing w:after="160" w:line="360"/>
        <w:ind w:left="720"/>
        <w:jc w:val="both"/>
      </w:pPr>
      <w:r>
        <w:rPr>
          <w:rFonts w:ascii="Times New Roman" w:cs="Times New Roman" w:eastAsia="Times New Roman" w:hAnsi="Times New Roman"/>
          <w:b/>
          <w:bCs/>
          <w:sz w:val="24"/>
          <w:szCs w:val="24"/>
        </w:rPr>
        <w:t xml:space="preserve">Instituto Butantan/Orientadora: </w:t>
      </w:r>
      <w:r>
        <w:rPr>
          <w:rFonts w:ascii="Times New Roman" w:cs="Times New Roman" w:eastAsia="Times New Roman" w:hAnsi="Times New Roman"/>
          <w:sz w:val="24"/>
          <w:szCs w:val="24"/>
        </w:rPr>
        <w:t xml:space="preserve">supervisão e validação das análises estatísticas avançadas, orientação na interpretação crítica dos achados, mentoria na redação científica e na modelagem do projeto (fluxograma de investigação complementar).</w:t>
      </w:r>
    </w:p>
    <w:p>
      <w:pPr>
        <w:spacing w:after="240" w:line="360"/>
        <w:ind w:left="720"/>
        <w:jc w:val="both"/>
      </w:pPr>
      <w:r>
        <w:rPr>
          <w:rFonts w:ascii="Times New Roman" w:cs="Times New Roman" w:eastAsia="Times New Roman" w:hAnsi="Times New Roman"/>
          <w:b/>
          <w:bCs/>
          <w:sz w:val="24"/>
          <w:szCs w:val="24"/>
        </w:rPr>
        <w:t xml:space="preserve">SMS Orlândia/Aluno: </w:t>
      </w:r>
      <w:r>
        <w:rPr>
          <w:rFonts w:ascii="Times New Roman" w:cs="Times New Roman" w:eastAsia="Times New Roman" w:hAnsi="Times New Roman"/>
          <w:sz w:val="24"/>
          <w:szCs w:val="24"/>
        </w:rPr>
        <w:t xml:space="preserve">execução das análises multivariadas, redação da primeira versão do manuscrito científico e do relatório técnico, elaboração da proposta inicial do fluxograma de investigação.</w:t>
      </w:r>
    </w:p>
    <w:p>
      <w:pPr>
        <w:pBdr>
          <w:bottom w:val="single" w:color="1F3864" w:sz="4" w:space="4"/>
        </w:pBdr>
        <w:spacing w:after="120" w:before="240" w:line="360"/>
        <w:jc w:val="left"/>
      </w:pPr>
      <w:r>
        <w:rPr>
          <w:rFonts w:ascii="Times New Roman" w:cs="Times New Roman" w:eastAsia="Times New Roman" w:hAnsi="Times New Roman"/>
          <w:b/>
          <w:bCs/>
          <w:color w:val="1F3864"/>
          <w:sz w:val="26"/>
          <w:szCs w:val="26"/>
        </w:rPr>
        <w:t xml:space="preserve">FASE 5 — VALIDAÇÃO, DIVULGAÇÃO E TRANSIÇÃO PARA APLICAÇÃO</w:t>
      </w:r>
    </w:p>
    <w:p>
      <w:pPr>
        <w:spacing w:after="160" w:line="300"/>
        <w:jc w:val="both"/>
      </w:pPr>
      <w:r>
        <w:rPr>
          <w:rFonts w:ascii="Times New Roman" w:cs="Times New Roman" w:eastAsia="Times New Roman" w:hAnsi="Times New Roman"/>
          <w:i/>
          <w:iCs/>
          <w:color w:val="555555"/>
          <w:sz w:val="22"/>
          <w:szCs w:val="22"/>
        </w:rPr>
        <w:t xml:space="preserve">Duração estimada: janeiro a fevereiro de 2028 (2 meses)</w:t>
      </w:r>
    </w:p>
    <w:p>
      <w:pPr>
        <w:spacing w:after="160" w:line="360"/>
        <w:jc w:val="both"/>
      </w:pPr>
      <w:r>
        <w:rPr>
          <w:rFonts w:ascii="Times New Roman" w:cs="Times New Roman" w:eastAsia="Times New Roman" w:hAnsi="Times New Roman"/>
          <w:b/>
          <w:bCs/>
          <w:sz w:val="24"/>
          <w:szCs w:val="24"/>
        </w:rPr>
        <w:t xml:space="preserve">Locais: </w:t>
      </w:r>
      <w:r>
        <w:rPr>
          <w:rFonts w:ascii="Times New Roman" w:cs="Times New Roman" w:eastAsia="Times New Roman" w:hAnsi="Times New Roman"/>
          <w:sz w:val="24"/>
          <w:szCs w:val="24"/>
        </w:rPr>
        <w:t xml:space="preserve">Secretaria Municipal de Saúde de Orlândia (validação e aplicação) e Instituto Butantan (divulgação científica).</w:t>
      </w:r>
    </w:p>
    <w:p>
      <w:pPr>
        <w:spacing w:after="160" w:line="360"/>
        <w:jc w:val="both"/>
      </w:pPr>
      <w:r>
        <w:rPr>
          <w:rFonts w:ascii="Times New Roman" w:cs="Times New Roman" w:eastAsia="Times New Roman" w:hAnsi="Times New Roman"/>
          <w:b/>
          <w:bCs/>
          <w:sz w:val="24"/>
          <w:szCs w:val="24"/>
        </w:rPr>
        <w:t xml:space="preserve">Metodologias: </w:t>
      </w:r>
      <w:r>
        <w:rPr>
          <w:rFonts w:ascii="Times New Roman" w:cs="Times New Roman" w:eastAsia="Times New Roman" w:hAnsi="Times New Roman"/>
          <w:sz w:val="24"/>
          <w:szCs w:val="24"/>
        </w:rPr>
        <w:t xml:space="preserve">Apresentação e discussão em fóruns técnicos (validação por especialistas), submissão a periódicos científicos, redação de relatórios finais.</w:t>
      </w:r>
    </w:p>
    <w:p>
      <w:pPr>
        <w:spacing w:after="160" w:line="360"/>
        <w:ind w:left="720"/>
        <w:jc w:val="both"/>
      </w:pPr>
      <w:r>
        <w:rPr>
          <w:rFonts w:ascii="Times New Roman" w:cs="Times New Roman" w:eastAsia="Times New Roman" w:hAnsi="Times New Roman"/>
          <w:b/>
          <w:bCs/>
          <w:sz w:val="24"/>
          <w:szCs w:val="24"/>
        </w:rPr>
        <w:t xml:space="preserve">SMS Orlândia/Aluno: </w:t>
      </w:r>
      <w:r>
        <w:rPr>
          <w:rFonts w:ascii="Times New Roman" w:cs="Times New Roman" w:eastAsia="Times New Roman" w:hAnsi="Times New Roman"/>
          <w:sz w:val="24"/>
          <w:szCs w:val="24"/>
        </w:rPr>
        <w:t xml:space="preserve">apresentação dos resultados e do fluxograma proposto à equipe técnica da SMS Orlândia para validação e ajustes finais, elaboração do relatório final gerencial, apoio ao planejamento inicial para implementação das diretrizes.</w:t>
      </w:r>
    </w:p>
    <w:p>
      <w:pPr>
        <w:spacing w:after="200" w:line="360"/>
        <w:ind w:left="720"/>
        <w:jc w:val="both"/>
      </w:pPr>
      <w:r>
        <w:rPr>
          <w:rFonts w:ascii="Times New Roman" w:cs="Times New Roman" w:eastAsia="Times New Roman" w:hAnsi="Times New Roman"/>
          <w:b/>
          <w:bCs/>
          <w:sz w:val="24"/>
          <w:szCs w:val="24"/>
        </w:rPr>
        <w:t xml:space="preserve">Instituto Butantan/Orientadora: </w:t>
      </w:r>
      <w:r>
        <w:rPr>
          <w:rFonts w:ascii="Times New Roman" w:cs="Times New Roman" w:eastAsia="Times New Roman" w:hAnsi="Times New Roman"/>
          <w:sz w:val="24"/>
          <w:szCs w:val="24"/>
        </w:rPr>
        <w:t xml:space="preserve">revisão final e aprovação do manuscrito do artigo científico, orientação na seleção do periódico para submissão, apoio na preparação de apresentações para congressos, assessoria na consolidação dos achados como base para futuros projetos de intervenção.</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6 CRONOGRAMA</w:t>
      </w:r>
    </w:p>
    <w:p>
      <w:pPr>
        <w:spacing w:after="200" w:line="360" w:lineRule="auto"/>
        <w:jc w:val="both"/>
      </w:pPr>
      <w:r>
        <w:rPr>
          <w:rFonts w:ascii="Times New Roman" w:cs="Times New Roman" w:eastAsia="Times New Roman" w:hAnsi="Times New Roman"/>
          <w:b w:val="false"/>
          <w:bCs w:val="false"/>
          <w:color w:val="000000"/>
          <w:sz w:val="24"/>
          <w:szCs w:val="24"/>
        </w:rPr>
        <w:t xml:space="preserve">O quadro a seguir sintetiza as cinco fases de execução do projeto, com as datas previstas para cada etapa.</w:t>
      </w:r>
    </w:p>
    <w:p>
      <w:pPr>
        <w:spacing w:after="0" w:line="2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1771"/>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center"/>
            </w:pPr>
            <w:r>
              <w:rPr>
                <w:rFonts w:ascii="Times New Roman" w:cs="Times New Roman" w:eastAsia="Times New Roman" w:hAnsi="Times New Roman"/>
                <w:b/>
                <w:bCs/>
                <w:color w:val="000000"/>
                <w:sz w:val="24"/>
                <w:szCs w:val="24"/>
              </w:rPr>
              <w:t xml:space="preserve">Fase</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center"/>
            </w:pPr>
            <w:r>
              <w:rPr>
                <w:rFonts w:ascii="Times New Roman" w:cs="Times New Roman" w:eastAsia="Times New Roman" w:hAnsi="Times New Roman"/>
                <w:b/>
                <w:bCs/>
                <w:color w:val="000000"/>
                <w:sz w:val="24"/>
                <w:szCs w:val="24"/>
              </w:rPr>
              <w:t xml:space="preserve">Descrição</w:t>
            </w:r>
          </w:p>
        </w:tc>
        <w:tc>
          <w:tcPr>
            <w:tcW w:type="dxa" w:w="19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center"/>
            </w:pPr>
            <w:r>
              <w:rPr>
                <w:rFonts w:ascii="Times New Roman" w:cs="Times New Roman" w:eastAsia="Times New Roman" w:hAnsi="Times New Roman"/>
                <w:b/>
                <w:bCs/>
                <w:color w:val="000000"/>
                <w:sz w:val="24"/>
                <w:szCs w:val="24"/>
              </w:rPr>
              <w:t xml:space="preserve">Período</w:t>
            </w:r>
          </w:p>
        </w:tc>
        <w:tc>
          <w:tcPr>
            <w:tcW w:type="dxa" w:w="1771"/>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center"/>
            </w:pPr>
            <w:r>
              <w:rPr>
                <w:rFonts w:ascii="Times New Roman" w:cs="Times New Roman" w:eastAsia="Times New Roman" w:hAnsi="Times New Roman"/>
                <w:b/>
                <w:bCs/>
                <w:color w:val="000000"/>
                <w:sz w:val="24"/>
                <w:szCs w:val="24"/>
              </w:rPr>
              <w:t xml:space="preserve">Duração</w:t>
            </w:r>
          </w:p>
        </w:tc>
      </w:tr>
      <w:tr>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1</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Preparação e aprovação ética</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Jun–Ago/2026</w:t>
            </w:r>
          </w:p>
        </w:tc>
        <w:tc>
          <w:tcPr>
            <w:tcW w:type="dxa" w:w="17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3 meses</w:t>
            </w:r>
          </w:p>
        </w:tc>
      </w:tr>
      <w:tr>
        <w:tc>
          <w:tcPr>
            <w:tcW w:type="dxa" w:w="2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2</w:t>
            </w:r>
          </w:p>
        </w:tc>
        <w:tc>
          <w:tcPr>
            <w:tcW w:type="dxa" w:w="3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Recrutamento e coleta longitudinal (Set/2026, Jan/2027 e Mai/2027)</w:t>
            </w:r>
          </w:p>
        </w:tc>
        <w:tc>
          <w:tcPr>
            <w:tcW w:type="dxa" w:w="19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Set/2026–Mai/2027</w:t>
            </w:r>
          </w:p>
        </w:tc>
        <w:tc>
          <w:tcPr>
            <w:tcW w:type="dxa" w:w="1771"/>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9 meses</w:t>
            </w:r>
          </w:p>
        </w:tc>
      </w:tr>
      <w:tr>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3</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Digitação, limpeza e análise preliminar</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Jun–Ago/2027</w:t>
            </w:r>
          </w:p>
        </w:tc>
        <w:tc>
          <w:tcPr>
            <w:tcW w:type="dxa" w:w="17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3 meses</w:t>
            </w:r>
          </w:p>
        </w:tc>
      </w:tr>
      <w:tr>
        <w:tc>
          <w:tcPr>
            <w:tcW w:type="dxa" w:w="2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4</w:t>
            </w:r>
          </w:p>
        </w:tc>
        <w:tc>
          <w:tcPr>
            <w:tcW w:type="dxa" w:w="3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Análise avançada e elaboração do produto</w:t>
            </w:r>
          </w:p>
        </w:tc>
        <w:tc>
          <w:tcPr>
            <w:tcW w:type="dxa" w:w="19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Set–Dez/2027</w:t>
            </w:r>
          </w:p>
        </w:tc>
        <w:tc>
          <w:tcPr>
            <w:tcW w:type="dxa" w:w="1771"/>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4 meses</w:t>
            </w:r>
          </w:p>
        </w:tc>
      </w:tr>
      <w:tr>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5</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Validação, divulgação e transição para aplicação</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Jan–Fev/2028</w:t>
            </w:r>
          </w:p>
        </w:tc>
        <w:tc>
          <w:tcPr>
            <w:tcW w:type="dxa" w:w="17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2 meses</w:t>
            </w:r>
          </w:p>
        </w:tc>
      </w:tr>
      <w:tr>
        <w:tc>
          <w:tcPr>
            <w:tcW w:type="dxa" w:w="2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TOTAL</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w:t>
            </w:r>
          </w:p>
        </w:tc>
        <w:tc>
          <w:tcPr>
            <w:tcW w:type="dxa" w:w="19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Jun/2026–Fev/2028</w:t>
            </w:r>
          </w:p>
        </w:tc>
        <w:tc>
          <w:tcPr>
            <w:tcW w:type="dxa" w:w="1771"/>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~21 meses</w:t>
            </w:r>
          </w:p>
        </w:tc>
      </w:tr>
    </w:tbl>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7 LOCAL DE REALIZAÇÃO DO PROJETO</w:t>
      </w:r>
    </w:p>
    <w:p>
      <w:pPr>
        <w:pStyle w:val="Heading2"/>
        <w:spacing w:after="200" w:before="400" w:line="360" w:lineRule="auto"/>
        <w:jc w:val="left"/>
      </w:pPr>
      <w:r>
        <w:rPr>
          <w:rFonts w:ascii="Times New Roman" w:cs="Times New Roman" w:eastAsia="Times New Roman" w:hAnsi="Times New Roman"/>
          <w:b/>
          <w:bCs/>
          <w:sz w:val="26"/>
          <w:szCs w:val="26"/>
        </w:rPr>
        <w:t xml:space="preserve">7.1 Prefeitura Municipal de Orlândia — Vigilância em Saúde</w:t>
      </w:r>
    </w:p>
    <w:p>
      <w:pPr>
        <w:spacing w:after="200" w:line="360" w:lineRule="auto"/>
        <w:jc w:val="both"/>
      </w:pPr>
      <w:r>
        <w:rPr>
          <w:rFonts w:ascii="Times New Roman" w:cs="Times New Roman" w:eastAsia="Times New Roman" w:hAnsi="Times New Roman"/>
          <w:b w:val="false"/>
          <w:bCs w:val="false"/>
          <w:color w:val="000000"/>
          <w:sz w:val="24"/>
          <w:szCs w:val="24"/>
        </w:rPr>
        <w:t xml:space="preserve">Atividades desenvolvidas: organização e análise de dados clínico-epidemiológicos, acompanhamento dos resultados dos testes realizados rotineiramente pelo município, implementação e avaliação piloto do fluxo diagnóstico complementar.</w:t>
      </w:r>
    </w:p>
    <w:p>
      <w:pPr>
        <w:spacing w:after="200" w:line="360" w:lineRule="auto"/>
        <w:jc w:val="both"/>
      </w:pPr>
      <w:r>
        <w:rPr>
          <w:rFonts w:ascii="Times New Roman" w:cs="Times New Roman" w:eastAsia="Times New Roman" w:hAnsi="Times New Roman"/>
          <w:b w:val="false"/>
          <w:bCs w:val="false"/>
          <w:color w:val="000000"/>
          <w:sz w:val="24"/>
          <w:szCs w:val="24"/>
        </w:rPr>
        <w:t xml:space="preserve">Rotina diagnóstica atual: realização de testes rápidos NS1.</w:t>
      </w:r>
    </w:p>
    <w:p>
      <w:pPr>
        <w:pStyle w:val="Heading2"/>
        <w:spacing w:after="200" w:before="400" w:line="360" w:lineRule="auto"/>
        <w:jc w:val="left"/>
      </w:pPr>
      <w:r>
        <w:rPr>
          <w:rFonts w:ascii="Times New Roman" w:cs="Times New Roman" w:eastAsia="Times New Roman" w:hAnsi="Times New Roman"/>
          <w:b/>
          <w:bCs/>
          <w:sz w:val="26"/>
          <w:szCs w:val="26"/>
        </w:rPr>
        <w:t xml:space="preserve">7.2 Instituto Butantan — Orientadora</w:t>
      </w:r>
    </w:p>
    <w:p>
      <w:pPr>
        <w:spacing w:after="200" w:line="360" w:lineRule="auto"/>
        <w:jc w:val="both"/>
      </w:pPr>
      <w:r>
        <w:rPr>
          <w:rFonts w:ascii="Times New Roman" w:cs="Times New Roman" w:eastAsia="Times New Roman" w:hAnsi="Times New Roman"/>
          <w:b w:val="false"/>
          <w:bCs w:val="false"/>
          <w:color w:val="000000"/>
          <w:sz w:val="24"/>
          <w:szCs w:val="24"/>
        </w:rPr>
        <w:t xml:space="preserve">Atividades desenvolvidas: orientação técnica e científica, definição das metodologias complementares e supervisão da consolidação dos resultados.</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REFERÊNCIAS</w:t>
      </w:r>
    </w:p>
    <w:p>
      <w:pPr>
        <w:spacing w:after="200" w:line="360"/>
        <w:ind w:left="720" w:hanging="720"/>
        <w:jc w:val="both"/>
      </w:pPr>
      <w:r>
        <w:rPr>
          <w:rFonts w:ascii="Times New Roman" w:cs="Times New Roman" w:eastAsia="Times New Roman" w:hAnsi="Times New Roman"/>
          <w:i/>
          <w:iCs/>
          <w:sz w:val="24"/>
          <w:szCs w:val="24"/>
        </w:rPr>
        <w:t xml:space="preserve">LEPTOSPIROSIS in febrile patients with suspected diagnosis of dengue fever. </w:t>
      </w:r>
      <w:r>
        <w:rPr>
          <w:rFonts w:ascii="Times New Roman" w:cs="Times New Roman" w:eastAsia="Times New Roman" w:hAnsi="Times New Roman"/>
          <w:b/>
          <w:bCs/>
          <w:i/>
          <w:iCs/>
          <w:sz w:val="24"/>
          <w:szCs w:val="24"/>
        </w:rPr>
        <w:t xml:space="preserve">BMC Research Notes</w:t>
      </w:r>
      <w:r>
        <w:rPr>
          <w:rFonts w:ascii="Times New Roman" w:cs="Times New Roman" w:eastAsia="Times New Roman" w:hAnsi="Times New Roman"/>
          <w:sz w:val="24"/>
          <w:szCs w:val="24"/>
        </w:rPr>
        <w:t xml:space="preserve">, [S. l.], 2021. Disponível em: https://link.springer.com/article/10.1186/s13104-021-05627-3. Acesso em: 2026.</w:t>
      </w:r>
    </w:p>
    <w:p>
      <w:pPr>
        <w:spacing w:after="200" w:line="360"/>
        <w:ind w:left="720" w:hanging="720"/>
        <w:jc w:val="both"/>
      </w:pPr>
      <w:r>
        <w:rPr>
          <w:rFonts w:ascii="Times New Roman" w:cs="Times New Roman" w:eastAsia="Times New Roman" w:hAnsi="Times New Roman"/>
          <w:i/>
          <w:iCs/>
          <w:sz w:val="24"/>
          <w:szCs w:val="24"/>
        </w:rPr>
        <w:t xml:space="preserve">LEPTOSPIROSIS diagnosis among patients suspected of dengue fever in Brazil. </w:t>
      </w:r>
      <w:r>
        <w:rPr>
          <w:rFonts w:ascii="Times New Roman" w:cs="Times New Roman" w:eastAsia="Times New Roman" w:hAnsi="Times New Roman"/>
          <w:b/>
          <w:bCs/>
          <w:i/>
          <w:iCs/>
          <w:sz w:val="24"/>
          <w:szCs w:val="24"/>
        </w:rPr>
        <w:t xml:space="preserve">Journal of Venomous Animals and Toxins Including Tropical Diseases</w:t>
      </w:r>
      <w:r>
        <w:rPr>
          <w:rFonts w:ascii="Times New Roman" w:cs="Times New Roman" w:eastAsia="Times New Roman" w:hAnsi="Times New Roman"/>
          <w:sz w:val="24"/>
          <w:szCs w:val="24"/>
        </w:rPr>
        <w:t xml:space="preserve">, [S. l.]. Disponível em: https://www.scielo.br/j/jvatitd/a/Tdk7wDVdysrfkcRStvMnhNn/. Acesso em: 2026.</w:t>
      </w:r>
    </w:p>
    <w:p>
      <w:pPr>
        <w:spacing w:after="200" w:line="360"/>
        <w:ind w:left="720" w:hanging="720"/>
        <w:jc w:val="both"/>
      </w:pPr>
      <w:r>
        <w:rPr>
          <w:rFonts w:ascii="Times New Roman" w:cs="Times New Roman" w:eastAsia="Times New Roman" w:hAnsi="Times New Roman"/>
          <w:i/>
          <w:iCs/>
          <w:sz w:val="24"/>
          <w:szCs w:val="24"/>
        </w:rPr>
        <w:t xml:space="preserve">INTO THE SPOTLIGHT: a spatial study of potentially underreported leptospirosis among dengue-negative patients in São Paulo city, Brazil. </w:t>
      </w:r>
      <w:r>
        <w:rPr>
          <w:rFonts w:ascii="Times New Roman" w:cs="Times New Roman" w:eastAsia="Times New Roman" w:hAnsi="Times New Roman"/>
          <w:b/>
          <w:bCs/>
          <w:i/>
          <w:iCs/>
          <w:sz w:val="24"/>
          <w:szCs w:val="24"/>
        </w:rPr>
        <w:t xml:space="preserve">PLOS Neglected Tropical Diseases</w:t>
      </w:r>
      <w:r>
        <w:rPr>
          <w:rFonts w:ascii="Times New Roman" w:cs="Times New Roman" w:eastAsia="Times New Roman" w:hAnsi="Times New Roman"/>
          <w:sz w:val="24"/>
          <w:szCs w:val="24"/>
        </w:rPr>
        <w:t xml:space="preserve">, [S. l.]. Disponível em: https://journals.plos.org/plosntds/article?id=10.1371/journal.pntd.0012888. Acesso em: 2026.</w:t>
      </w:r>
    </w:p>
    <w:p>
      <w:pPr>
        <w:spacing w:after="200" w:line="360"/>
        <w:ind w:left="720" w:hanging="720"/>
        <w:jc w:val="both"/>
      </w:pPr>
      <w:r>
        <w:rPr>
          <w:rFonts w:ascii="Times New Roman" w:cs="Times New Roman" w:eastAsia="Times New Roman" w:hAnsi="Times New Roman"/>
          <w:i/>
          <w:iCs/>
          <w:sz w:val="24"/>
          <w:szCs w:val="24"/>
        </w:rPr>
        <w:t xml:space="preserve">SEROPREVALENCE of dengue, Zika, and chikungunya in São Sebastião, Brazil (2020–2021): a population-based survey. </w:t>
      </w:r>
      <w:r>
        <w:rPr>
          <w:rFonts w:ascii="Times New Roman" w:cs="Times New Roman" w:eastAsia="Times New Roman" w:hAnsi="Times New Roman"/>
          <w:b/>
          <w:bCs/>
          <w:i/>
          <w:iCs/>
          <w:sz w:val="24"/>
          <w:szCs w:val="24"/>
        </w:rPr>
        <w:t xml:space="preserve">BMC Infectious Diseases</w:t>
      </w:r>
      <w:r>
        <w:rPr>
          <w:rFonts w:ascii="Times New Roman" w:cs="Times New Roman" w:eastAsia="Times New Roman" w:hAnsi="Times New Roman"/>
          <w:sz w:val="24"/>
          <w:szCs w:val="24"/>
        </w:rPr>
        <w:t xml:space="preserve">, [S. l.], 2025. Disponível em: https://link.springer.com/article/10.1186/s12879-025-10516-2. Acesso em: 2026.</w:t>
      </w:r>
    </w:p>
    <w:p>
      <w:pPr>
        <w:spacing w:after="0" w:line="240"/>
      </w:pPr>
      <w:r>
        <w:t xml:space="preserve"/>
      </w:r>
    </w:p>
    <w:p>
      <w:pPr>
        <w:spacing w:after="0" w:line="240"/>
      </w:pPr>
      <w:r>
        <w:t xml:space="preserve"/>
      </w:r>
    </w:p>
    <w:p>
      <w:pPr>
        <w:pStyle w:val="Heading1"/>
        <w:spacing w:after="200" w:before="400" w:line="360" w:lineRule="auto"/>
        <w:jc w:val="left"/>
      </w:pPr>
      <w:r>
        <w:rPr>
          <w:rFonts w:ascii="Times New Roman" w:cs="Times New Roman" w:eastAsia="Times New Roman" w:hAnsi="Times New Roman"/>
          <w:b/>
          <w:bCs/>
          <w:sz w:val="28"/>
          <w:szCs w:val="28"/>
        </w:rPr>
        <w:t xml:space="preserve">ASSINATURAS</w:t>
      </w:r>
    </w:p>
    <w:p>
      <w:pPr>
        <w:spacing w:after="200" w:line="360" w:lineRule="auto"/>
        <w:jc w:val="both"/>
      </w:pPr>
      <w:r>
        <w:rPr>
          <w:rFonts w:ascii="Times New Roman" w:cs="Times New Roman" w:eastAsia="Times New Roman" w:hAnsi="Times New Roman"/>
          <w:b w:val="false"/>
          <w:bCs w:val="false"/>
          <w:color w:val="000000"/>
          <w:sz w:val="24"/>
          <w:szCs w:val="24"/>
        </w:rPr>
        <w:t xml:space="preserve">São Paulo, _____ de _________________ de 2026.</w:t>
      </w:r>
    </w:p>
    <w:p>
      <w:pPr>
        <w:spacing w:after="0" w:line="240"/>
      </w:pPr>
      <w:r>
        <w:t xml:space="preserve"/>
      </w:r>
    </w:p>
    <w:p>
      <w:pPr>
        <w:spacing w:after="0" w:line="2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80" w:line="300"/>
              <w:jc w:val="center"/>
            </w:pPr>
            <w:r>
              <w:rPr>
                <w:rFonts w:ascii="Times New Roman" w:cs="Times New Roman" w:eastAsia="Times New Roman" w:hAnsi="Times New Roman"/>
                <w:sz w:val="24"/>
                <w:szCs w:val="24"/>
              </w:rPr>
              <w:t xml:space="preserve">____________________________________</w:t>
            </w:r>
          </w:p>
          <w:p>
            <w:pPr>
              <w:spacing w:after="80" w:line="300"/>
              <w:jc w:val="center"/>
            </w:pPr>
            <w:r>
              <w:rPr>
                <w:rFonts w:ascii="Times New Roman" w:cs="Times New Roman" w:eastAsia="Times New Roman" w:hAnsi="Times New Roman"/>
                <w:sz w:val="22"/>
                <w:szCs w:val="22"/>
              </w:rPr>
              <w:t xml:space="preserve">Secretaria Municipal de Saúde</w:t>
            </w:r>
          </w:p>
          <w:p>
            <w:pPr>
              <w:spacing w:after="80" w:line="300"/>
              <w:jc w:val="center"/>
            </w:pPr>
            <w:r>
              <w:rPr>
                <w:rFonts w:ascii="Times New Roman" w:cs="Times New Roman" w:eastAsia="Times New Roman" w:hAnsi="Times New Roman"/>
                <w:sz w:val="22"/>
                <w:szCs w:val="22"/>
              </w:rPr>
              <w:t xml:space="preserve">Orlândia-SP</w:t>
            </w:r>
          </w:p>
          <w:p>
            <w:pPr>
              <w:spacing w:after="0" w:line="300"/>
              <w:jc w:val="center"/>
            </w:pPr>
            <w:r>
              <w:rPr>
                <w:rFonts w:ascii="Times New Roman" w:cs="Times New Roman" w:eastAsia="Times New Roman" w:hAnsi="Times New Roman"/>
                <w:b/>
                <w:bCs/>
                <w:sz w:val="22"/>
                <w:szCs w:val="22"/>
              </w:rPr>
              <w:t xml:space="preserve">Lucas Marcelino Campos Ferreira</w:t>
            </w:r>
          </w:p>
        </w:tc>
        <w:tc>
          <w:tcPr>
            <w:tcW w:type="dxa" w:w="4536"/>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80" w:line="300"/>
              <w:jc w:val="center"/>
            </w:pPr>
            <w:r>
              <w:rPr>
                <w:rFonts w:ascii="Times New Roman" w:cs="Times New Roman" w:eastAsia="Times New Roman" w:hAnsi="Times New Roman"/>
                <w:sz w:val="24"/>
                <w:szCs w:val="24"/>
              </w:rPr>
              <w:t xml:space="preserve">____________________________________</w:t>
            </w:r>
          </w:p>
          <w:p>
            <w:pPr>
              <w:spacing w:after="80" w:line="300"/>
              <w:jc w:val="center"/>
            </w:pPr>
            <w:r>
              <w:rPr>
                <w:rFonts w:ascii="Times New Roman" w:cs="Times New Roman" w:eastAsia="Times New Roman" w:hAnsi="Times New Roman"/>
                <w:sz w:val="22"/>
                <w:szCs w:val="22"/>
              </w:rPr>
              <w:t xml:space="preserve">Instituto Butantan</w:t>
            </w:r>
          </w:p>
          <w:p>
            <w:pPr>
              <w:spacing w:after="0" w:line="300"/>
              <w:jc w:val="center"/>
            </w:pPr>
            <w:r>
              <w:rPr>
                <w:rFonts w:ascii="Times New Roman" w:cs="Times New Roman" w:eastAsia="Times New Roman" w:hAnsi="Times New Roman"/>
                <w:b/>
                <w:bCs/>
                <w:sz w:val="22"/>
                <w:szCs w:val="22"/>
              </w:rPr>
              <w:t xml:space="preserve">Profa. Dra. Sandra Coccuzzo Sampaio Vessoni</w:t>
            </w:r>
          </w:p>
        </w:tc>
      </w:tr>
    </w:tbl>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2026-06-26T22:24:21.901Z</dcterms:created>
  <dcterms:modified xsi:type="dcterms:W3CDTF">2026-06-26T22:24:21.902Z</dcterms:modified>
</cp:coreProperties>
</file>

<file path=docProps/custom.xml><?xml version="1.0" encoding="utf-8"?>
<Properties xmlns="http://schemas.openxmlformats.org/officeDocument/2006/custom-properties" xmlns:vt="http://schemas.openxmlformats.org/officeDocument/2006/docPropsVTypes"/>
</file>