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06B3" w14:textId="77777777" w:rsidR="00820ABF" w:rsidRDefault="00820ABF" w:rsidP="00820ABF"/>
    <w:p w14:paraId="414C05D3" w14:textId="77777777" w:rsidR="00820ABF" w:rsidRDefault="00820ABF" w:rsidP="00820ABF"/>
    <w:p w14:paraId="317B6F56" w14:textId="4F3F9CF7" w:rsidR="00820ABF" w:rsidRDefault="00820ABF" w:rsidP="00820ABF">
      <w:r>
        <w:t>Brahms Natural 004</w:t>
      </w:r>
      <w:r w:rsidR="00D556B5">
        <w:t xml:space="preserve"> (2)</w:t>
      </w:r>
    </w:p>
    <w:p w14:paraId="522A8FD7" w14:textId="77777777" w:rsidR="0008745D" w:rsidRDefault="0008745D" w:rsidP="0008745D">
      <w:proofErr w:type="spellStart"/>
      <w:r>
        <w:t>mean_deviation</w:t>
      </w:r>
      <w:proofErr w:type="spellEnd"/>
      <w:r>
        <w:t xml:space="preserve"> </w:t>
      </w:r>
      <w:proofErr w:type="gramStart"/>
      <w:r>
        <w:t>9.064423628369337</w:t>
      </w:r>
      <w:proofErr w:type="gramEnd"/>
    </w:p>
    <w:p w14:paraId="45DD120F" w14:textId="77777777" w:rsidR="0008745D" w:rsidRDefault="0008745D" w:rsidP="0008745D">
      <w:proofErr w:type="spellStart"/>
      <w:r>
        <w:t>std_deviation</w:t>
      </w:r>
      <w:proofErr w:type="spellEnd"/>
      <w:r>
        <w:t xml:space="preserve"> 12.668103366535439</w:t>
      </w:r>
    </w:p>
    <w:p w14:paraId="4D0A92F4" w14:textId="77777777" w:rsidR="0008745D" w:rsidRDefault="0008745D" w:rsidP="0008745D">
      <w:proofErr w:type="spellStart"/>
      <w:r>
        <w:t>max_deviation</w:t>
      </w:r>
      <w:proofErr w:type="spellEnd"/>
      <w:r>
        <w:t xml:space="preserve"> 49.0</w:t>
      </w:r>
    </w:p>
    <w:p w14:paraId="112525F3" w14:textId="29B47BC0" w:rsidR="00820ABF" w:rsidRDefault="0008745D" w:rsidP="0008745D">
      <w:proofErr w:type="spellStart"/>
      <w:r>
        <w:t>min_deviation</w:t>
      </w:r>
      <w:proofErr w:type="spellEnd"/>
      <w:r>
        <w:t xml:space="preserve"> -50.0</w:t>
      </w:r>
    </w:p>
    <w:p w14:paraId="65F5EFD7" w14:textId="77777777" w:rsidR="0008745D" w:rsidRDefault="0008745D" w:rsidP="0008745D"/>
    <w:p w14:paraId="1F567EE9" w14:textId="77777777" w:rsidR="0008745D" w:rsidRDefault="0008745D" w:rsidP="0008745D"/>
    <w:p w14:paraId="441AD02A" w14:textId="19ACFD53" w:rsidR="00820ABF" w:rsidRDefault="00820ABF" w:rsidP="00820ABF">
      <w:r w:rsidRPr="00820ABF">
        <w:t>Brahms 112BMP Trial 003</w:t>
      </w:r>
    </w:p>
    <w:p w14:paraId="0164646A" w14:textId="705CFDFF" w:rsidR="00352E9C" w:rsidRDefault="00352E9C" w:rsidP="00352E9C">
      <w:proofErr w:type="spellStart"/>
      <w:r>
        <w:t>mean_deviation</w:t>
      </w:r>
      <w:proofErr w:type="spellEnd"/>
      <w:r>
        <w:t xml:space="preserve"> 11.678759508484493</w:t>
      </w:r>
      <w:r w:rsidR="002D2B26">
        <w:t xml:space="preserve"> (5)</w:t>
      </w:r>
    </w:p>
    <w:p w14:paraId="036CDC0D" w14:textId="77777777" w:rsidR="00352E9C" w:rsidRDefault="00352E9C" w:rsidP="00352E9C">
      <w:proofErr w:type="spellStart"/>
      <w:r>
        <w:t>std_deviation</w:t>
      </w:r>
      <w:proofErr w:type="spellEnd"/>
      <w:r>
        <w:t xml:space="preserve"> 14.815712860143373</w:t>
      </w:r>
    </w:p>
    <w:p w14:paraId="02429247" w14:textId="77777777" w:rsidR="00352E9C" w:rsidRDefault="00352E9C" w:rsidP="00352E9C">
      <w:proofErr w:type="spellStart"/>
      <w:r>
        <w:t>max_deviation</w:t>
      </w:r>
      <w:proofErr w:type="spellEnd"/>
      <w:r>
        <w:t xml:space="preserve"> 49.0</w:t>
      </w:r>
    </w:p>
    <w:p w14:paraId="17141FAB" w14:textId="4EF26B91" w:rsidR="000A113B" w:rsidRDefault="00352E9C" w:rsidP="00352E9C">
      <w:proofErr w:type="spellStart"/>
      <w:r>
        <w:t>min_deviation</w:t>
      </w:r>
      <w:proofErr w:type="spellEnd"/>
      <w:r>
        <w:t xml:space="preserve"> -50.0</w:t>
      </w:r>
    </w:p>
    <w:p w14:paraId="635B6D67" w14:textId="77777777" w:rsidR="00352E9C" w:rsidRDefault="00352E9C" w:rsidP="00352E9C"/>
    <w:p w14:paraId="790B87D4" w14:textId="4106DF3C" w:rsidR="000A113B" w:rsidRDefault="000A113B" w:rsidP="00820ABF">
      <w:r>
        <w:t>Brahms seated 003</w:t>
      </w:r>
      <w:r w:rsidR="00D556B5">
        <w:t xml:space="preserve"> (1)</w:t>
      </w:r>
    </w:p>
    <w:p w14:paraId="14B75A86" w14:textId="77777777" w:rsidR="0008745D" w:rsidRDefault="0008745D" w:rsidP="0008745D">
      <w:proofErr w:type="spellStart"/>
      <w:r>
        <w:t>mean_deviation</w:t>
      </w:r>
      <w:proofErr w:type="spellEnd"/>
      <w:r>
        <w:t xml:space="preserve"> </w:t>
      </w:r>
      <w:proofErr w:type="gramStart"/>
      <w:r>
        <w:t>11.660461351679482</w:t>
      </w:r>
      <w:proofErr w:type="gramEnd"/>
    </w:p>
    <w:p w14:paraId="59189222" w14:textId="77777777" w:rsidR="0008745D" w:rsidRDefault="0008745D" w:rsidP="0008745D">
      <w:proofErr w:type="spellStart"/>
      <w:r>
        <w:t>std_deviation</w:t>
      </w:r>
      <w:proofErr w:type="spellEnd"/>
      <w:r>
        <w:t xml:space="preserve"> 17.044400406531004</w:t>
      </w:r>
    </w:p>
    <w:p w14:paraId="1EAAF8D2" w14:textId="77777777" w:rsidR="0008745D" w:rsidRDefault="0008745D" w:rsidP="0008745D">
      <w:proofErr w:type="spellStart"/>
      <w:r>
        <w:t>max_deviation</w:t>
      </w:r>
      <w:proofErr w:type="spellEnd"/>
      <w:r>
        <w:t xml:space="preserve"> 49.0</w:t>
      </w:r>
    </w:p>
    <w:p w14:paraId="750B4D79" w14:textId="20185B4B" w:rsidR="000A113B" w:rsidRDefault="0008745D" w:rsidP="0008745D">
      <w:proofErr w:type="spellStart"/>
      <w:r>
        <w:t>min_deviation</w:t>
      </w:r>
      <w:proofErr w:type="spellEnd"/>
      <w:r>
        <w:t xml:space="preserve"> -50.0</w:t>
      </w:r>
    </w:p>
    <w:p w14:paraId="1883576F" w14:textId="77777777" w:rsidR="0008745D" w:rsidRDefault="0008745D" w:rsidP="0008745D"/>
    <w:p w14:paraId="4E5E4D96" w14:textId="07557C02" w:rsidR="000A113B" w:rsidRDefault="000A113B" w:rsidP="000A113B">
      <w:r>
        <w:t xml:space="preserve">Brahms seated 005 </w:t>
      </w:r>
      <w:r w:rsidR="00D556B5">
        <w:t>(2)</w:t>
      </w:r>
    </w:p>
    <w:p w14:paraId="70480588" w14:textId="77777777" w:rsidR="0008745D" w:rsidRDefault="0008745D" w:rsidP="0008745D">
      <w:proofErr w:type="spellStart"/>
      <w:r>
        <w:t>mean_deviation</w:t>
      </w:r>
      <w:proofErr w:type="spellEnd"/>
      <w:r>
        <w:t xml:space="preserve"> </w:t>
      </w:r>
      <w:proofErr w:type="gramStart"/>
      <w:r>
        <w:t>11.977617328519855</w:t>
      </w:r>
      <w:proofErr w:type="gramEnd"/>
    </w:p>
    <w:p w14:paraId="1609171D" w14:textId="77777777" w:rsidR="0008745D" w:rsidRDefault="0008745D" w:rsidP="0008745D">
      <w:proofErr w:type="spellStart"/>
      <w:r>
        <w:t>std_deviation</w:t>
      </w:r>
      <w:proofErr w:type="spellEnd"/>
      <w:r>
        <w:t xml:space="preserve"> 13.853847909664092</w:t>
      </w:r>
    </w:p>
    <w:p w14:paraId="75C86BCE" w14:textId="77777777" w:rsidR="0008745D" w:rsidRDefault="0008745D" w:rsidP="0008745D">
      <w:proofErr w:type="spellStart"/>
      <w:r>
        <w:t>max_deviation</w:t>
      </w:r>
      <w:proofErr w:type="spellEnd"/>
      <w:r>
        <w:t xml:space="preserve"> 49.0</w:t>
      </w:r>
    </w:p>
    <w:p w14:paraId="1DAE28C4" w14:textId="24DCA77D" w:rsidR="002E3507" w:rsidRDefault="0008745D" w:rsidP="0008745D">
      <w:proofErr w:type="spellStart"/>
      <w:r>
        <w:t>min_deviation</w:t>
      </w:r>
      <w:proofErr w:type="spellEnd"/>
      <w:r>
        <w:t xml:space="preserve"> -50.0</w:t>
      </w:r>
    </w:p>
    <w:p w14:paraId="724F6C25" w14:textId="77777777" w:rsidR="002E3507" w:rsidRDefault="002E3507" w:rsidP="000A113B"/>
    <w:p w14:paraId="6ED98137" w14:textId="77777777" w:rsidR="0008745D" w:rsidRDefault="0008745D" w:rsidP="000A113B"/>
    <w:p w14:paraId="65859850" w14:textId="36848E11" w:rsidR="004F5AB8" w:rsidRDefault="004F5AB8" w:rsidP="000A113B">
      <w:r>
        <w:t>Brahms upright 003</w:t>
      </w:r>
      <w:r w:rsidR="00D556B5">
        <w:t xml:space="preserve"> (1)</w:t>
      </w:r>
    </w:p>
    <w:p w14:paraId="2C624E9F" w14:textId="77777777" w:rsidR="0008745D" w:rsidRDefault="0008745D" w:rsidP="0008745D">
      <w:proofErr w:type="spellStart"/>
      <w:r>
        <w:t>mean_deviation</w:t>
      </w:r>
      <w:proofErr w:type="spellEnd"/>
      <w:r>
        <w:t xml:space="preserve"> </w:t>
      </w:r>
      <w:proofErr w:type="gramStart"/>
      <w:r>
        <w:t>11.001012760785905</w:t>
      </w:r>
      <w:proofErr w:type="gramEnd"/>
    </w:p>
    <w:p w14:paraId="526EE88D" w14:textId="77777777" w:rsidR="0008745D" w:rsidRDefault="0008745D" w:rsidP="0008745D">
      <w:proofErr w:type="spellStart"/>
      <w:r>
        <w:t>std_deviation</w:t>
      </w:r>
      <w:proofErr w:type="spellEnd"/>
      <w:r>
        <w:t xml:space="preserve"> 18.68131397369345</w:t>
      </w:r>
    </w:p>
    <w:p w14:paraId="03DC4B4F" w14:textId="77777777" w:rsidR="0008745D" w:rsidRDefault="0008745D" w:rsidP="0008745D">
      <w:proofErr w:type="spellStart"/>
      <w:r>
        <w:t>max_deviation</w:t>
      </w:r>
      <w:proofErr w:type="spellEnd"/>
      <w:r>
        <w:t xml:space="preserve"> 49.0</w:t>
      </w:r>
    </w:p>
    <w:p w14:paraId="079AA973" w14:textId="3541C042" w:rsidR="002E3507" w:rsidRDefault="0008745D" w:rsidP="0008745D">
      <w:proofErr w:type="spellStart"/>
      <w:r>
        <w:t>min_deviation</w:t>
      </w:r>
      <w:proofErr w:type="spellEnd"/>
      <w:r>
        <w:t xml:space="preserve"> -50.0</w:t>
      </w:r>
    </w:p>
    <w:p w14:paraId="72568A99" w14:textId="77777777" w:rsidR="0008745D" w:rsidRDefault="0008745D" w:rsidP="0008745D"/>
    <w:p w14:paraId="6AB65526" w14:textId="77777777" w:rsidR="0008745D" w:rsidRDefault="0008745D" w:rsidP="0008745D"/>
    <w:p w14:paraId="5E0F846A" w14:textId="1541F0D5" w:rsidR="002E3507" w:rsidRDefault="002E3507" w:rsidP="002E3507">
      <w:proofErr w:type="spellStart"/>
      <w:r>
        <w:t>dutrieu_brseat</w:t>
      </w:r>
      <w:proofErr w:type="spellEnd"/>
      <w:r>
        <w:t xml:space="preserve"> </w:t>
      </w:r>
      <w:r w:rsidR="00D556B5">
        <w:t>(3)</w:t>
      </w:r>
    </w:p>
    <w:p w14:paraId="51A1881D" w14:textId="77777777" w:rsidR="00560460" w:rsidRDefault="00560460" w:rsidP="00560460">
      <w:proofErr w:type="spellStart"/>
      <w:r>
        <w:t>mean_deviation</w:t>
      </w:r>
      <w:proofErr w:type="spellEnd"/>
      <w:r>
        <w:t xml:space="preserve"> </w:t>
      </w:r>
      <w:proofErr w:type="gramStart"/>
      <w:r>
        <w:t>20.576539589442817</w:t>
      </w:r>
      <w:proofErr w:type="gramEnd"/>
    </w:p>
    <w:p w14:paraId="3CEFA28B" w14:textId="77777777" w:rsidR="00560460" w:rsidRDefault="00560460" w:rsidP="00560460">
      <w:proofErr w:type="spellStart"/>
      <w:r>
        <w:t>std_deviation</w:t>
      </w:r>
      <w:proofErr w:type="spellEnd"/>
      <w:r>
        <w:t xml:space="preserve"> 18.966713574119396</w:t>
      </w:r>
    </w:p>
    <w:p w14:paraId="503B7873" w14:textId="77777777" w:rsidR="00560460" w:rsidRDefault="00560460" w:rsidP="00560460">
      <w:proofErr w:type="spellStart"/>
      <w:r>
        <w:t>max_deviation</w:t>
      </w:r>
      <w:proofErr w:type="spellEnd"/>
      <w:r>
        <w:t xml:space="preserve"> 49.0</w:t>
      </w:r>
    </w:p>
    <w:p w14:paraId="41C1A416" w14:textId="1488B856" w:rsidR="002E3507" w:rsidRDefault="00560460" w:rsidP="00560460">
      <w:proofErr w:type="spellStart"/>
      <w:r>
        <w:t>min_deviation</w:t>
      </w:r>
      <w:proofErr w:type="spellEnd"/>
      <w:r>
        <w:t xml:space="preserve"> -50.0</w:t>
      </w:r>
    </w:p>
    <w:p w14:paraId="1589AA4C" w14:textId="77777777" w:rsidR="00560460" w:rsidRDefault="00560460" w:rsidP="00560460"/>
    <w:p w14:paraId="685CEC74" w14:textId="77777777" w:rsidR="00560460" w:rsidRDefault="00560460" w:rsidP="00560460"/>
    <w:p w14:paraId="43FA2FC7" w14:textId="07BEE93C" w:rsidR="00B87D68" w:rsidRDefault="00B87D68" w:rsidP="002E3507">
      <w:proofErr w:type="spellStart"/>
      <w:r>
        <w:t>dutrieu_brsta</w:t>
      </w:r>
      <w:proofErr w:type="spellEnd"/>
      <w:r w:rsidR="00D556B5">
        <w:t xml:space="preserve"> (3)</w:t>
      </w:r>
    </w:p>
    <w:p w14:paraId="72FE3284" w14:textId="77777777" w:rsidR="00560460" w:rsidRDefault="00560460" w:rsidP="00560460">
      <w:proofErr w:type="spellStart"/>
      <w:r>
        <w:t>mean_deviation</w:t>
      </w:r>
      <w:proofErr w:type="spellEnd"/>
      <w:r>
        <w:t xml:space="preserve"> </w:t>
      </w:r>
      <w:proofErr w:type="gramStart"/>
      <w:r>
        <w:t>15.70770822555613</w:t>
      </w:r>
      <w:proofErr w:type="gramEnd"/>
    </w:p>
    <w:p w14:paraId="1CE4F18F" w14:textId="77777777" w:rsidR="00560460" w:rsidRDefault="00560460" w:rsidP="00560460">
      <w:proofErr w:type="spellStart"/>
      <w:r>
        <w:lastRenderedPageBreak/>
        <w:t>std_deviation</w:t>
      </w:r>
      <w:proofErr w:type="spellEnd"/>
      <w:r>
        <w:t xml:space="preserve"> 18.48537760719592</w:t>
      </w:r>
    </w:p>
    <w:p w14:paraId="1613BB51" w14:textId="77777777" w:rsidR="00560460" w:rsidRDefault="00560460" w:rsidP="00560460">
      <w:proofErr w:type="spellStart"/>
      <w:r>
        <w:t>max_deviation</w:t>
      </w:r>
      <w:proofErr w:type="spellEnd"/>
      <w:r>
        <w:t xml:space="preserve"> 49.0</w:t>
      </w:r>
    </w:p>
    <w:p w14:paraId="4EA5A0D4" w14:textId="0E05C707" w:rsidR="00B87D68" w:rsidRDefault="00560460" w:rsidP="00560460">
      <w:proofErr w:type="spellStart"/>
      <w:r>
        <w:t>min_deviation</w:t>
      </w:r>
      <w:proofErr w:type="spellEnd"/>
      <w:r>
        <w:t xml:space="preserve"> -50.0</w:t>
      </w:r>
    </w:p>
    <w:p w14:paraId="3BF1AE9B" w14:textId="77777777" w:rsidR="00560460" w:rsidRDefault="00560460" w:rsidP="00560460"/>
    <w:p w14:paraId="21776FD3" w14:textId="77777777" w:rsidR="00560460" w:rsidRDefault="00560460" w:rsidP="00560460"/>
    <w:p w14:paraId="48F0AEB0" w14:textId="33620A71" w:rsidR="002E3507" w:rsidRDefault="002E3507" w:rsidP="002E3507">
      <w:proofErr w:type="spellStart"/>
      <w:r>
        <w:t>Wouters_</w:t>
      </w:r>
      <w:proofErr w:type="gramStart"/>
      <w:r>
        <w:t>bex</w:t>
      </w:r>
      <w:proofErr w:type="spellEnd"/>
      <w:r>
        <w:t xml:space="preserve"> </w:t>
      </w:r>
      <w:r w:rsidR="002D2B26">
        <w:t xml:space="preserve"> (</w:t>
      </w:r>
      <w:proofErr w:type="gramEnd"/>
      <w:r w:rsidR="002D2B26">
        <w:t>4)</w:t>
      </w:r>
    </w:p>
    <w:p w14:paraId="1F4AAEB5" w14:textId="77777777" w:rsidR="00517B11" w:rsidRDefault="00517B11" w:rsidP="00517B11">
      <w:proofErr w:type="spellStart"/>
      <w:r>
        <w:t>mean_deviation</w:t>
      </w:r>
      <w:proofErr w:type="spellEnd"/>
      <w:r>
        <w:t xml:space="preserve"> </w:t>
      </w:r>
      <w:proofErr w:type="gramStart"/>
      <w:r>
        <w:t>17.69804526748971</w:t>
      </w:r>
      <w:proofErr w:type="gramEnd"/>
    </w:p>
    <w:p w14:paraId="0F1D0C4E" w14:textId="77777777" w:rsidR="00517B11" w:rsidRDefault="00517B11" w:rsidP="00517B11">
      <w:proofErr w:type="spellStart"/>
      <w:r>
        <w:t>std_deviation</w:t>
      </w:r>
      <w:proofErr w:type="spellEnd"/>
      <w:r>
        <w:t xml:space="preserve"> 14.865718437276657</w:t>
      </w:r>
    </w:p>
    <w:p w14:paraId="686DC8CD" w14:textId="77777777" w:rsidR="00517B11" w:rsidRDefault="00517B11" w:rsidP="00517B11">
      <w:proofErr w:type="spellStart"/>
      <w:r>
        <w:t>max_deviation</w:t>
      </w:r>
      <w:proofErr w:type="spellEnd"/>
      <w:r>
        <w:t xml:space="preserve"> 49.0</w:t>
      </w:r>
    </w:p>
    <w:p w14:paraId="50A60E61" w14:textId="56BD50B7" w:rsidR="00280749" w:rsidRDefault="00517B11" w:rsidP="00517B11">
      <w:proofErr w:type="spellStart"/>
      <w:r>
        <w:t>min_deviation</w:t>
      </w:r>
      <w:proofErr w:type="spellEnd"/>
      <w:r>
        <w:t xml:space="preserve"> -50.0</w:t>
      </w:r>
    </w:p>
    <w:p w14:paraId="74054A57" w14:textId="77777777" w:rsidR="00352E9C" w:rsidRDefault="00352E9C" w:rsidP="00517B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732"/>
        <w:gridCol w:w="1795"/>
        <w:gridCol w:w="1538"/>
      </w:tblGrid>
      <w:tr w:rsidR="006F4494" w14:paraId="5166CA8D" w14:textId="77777777" w:rsidTr="006F4494">
        <w:tc>
          <w:tcPr>
            <w:tcW w:w="1474" w:type="dxa"/>
          </w:tcPr>
          <w:p w14:paraId="1F2A7B0E" w14:textId="6F098DFB" w:rsidR="006F4494" w:rsidRDefault="006F4494" w:rsidP="00352E9C">
            <w:r>
              <w:t>Performer</w:t>
            </w:r>
          </w:p>
        </w:tc>
        <w:tc>
          <w:tcPr>
            <w:tcW w:w="1732" w:type="dxa"/>
          </w:tcPr>
          <w:p w14:paraId="3BBF81C8" w14:textId="5CC275EF" w:rsidR="006F4494" w:rsidRDefault="006F4494" w:rsidP="00352E9C">
            <w:r>
              <w:t>Seated (0) standing (1)</w:t>
            </w:r>
          </w:p>
        </w:tc>
        <w:tc>
          <w:tcPr>
            <w:tcW w:w="1795" w:type="dxa"/>
          </w:tcPr>
          <w:p w14:paraId="3CE2AA40" w14:textId="4C13DB18" w:rsidR="006F4494" w:rsidRDefault="006F4494" w:rsidP="00352E9C">
            <w:proofErr w:type="spellStart"/>
            <w:r>
              <w:t>mean_deviation</w:t>
            </w:r>
            <w:proofErr w:type="spellEnd"/>
            <w:r>
              <w:t xml:space="preserve"> (cents)</w:t>
            </w:r>
          </w:p>
        </w:tc>
        <w:tc>
          <w:tcPr>
            <w:tcW w:w="1538" w:type="dxa"/>
          </w:tcPr>
          <w:p w14:paraId="5EAA35DC" w14:textId="1AA73C37" w:rsidR="006F4494" w:rsidRDefault="006F4494" w:rsidP="00352E9C">
            <w:proofErr w:type="spellStart"/>
            <w:r>
              <w:t>std_deviation</w:t>
            </w:r>
            <w:proofErr w:type="spellEnd"/>
            <w:r>
              <w:t xml:space="preserve"> (cents)</w:t>
            </w:r>
          </w:p>
        </w:tc>
      </w:tr>
      <w:tr w:rsidR="006F4494" w14:paraId="36A5C8DE" w14:textId="77777777" w:rsidTr="006F4494">
        <w:tc>
          <w:tcPr>
            <w:tcW w:w="1474" w:type="dxa"/>
          </w:tcPr>
          <w:p w14:paraId="6F756620" w14:textId="5C98C7EC" w:rsidR="006F4494" w:rsidRDefault="006F4494" w:rsidP="00517B11">
            <w:r>
              <w:t>1</w:t>
            </w:r>
          </w:p>
        </w:tc>
        <w:tc>
          <w:tcPr>
            <w:tcW w:w="1732" w:type="dxa"/>
          </w:tcPr>
          <w:p w14:paraId="05DBD0D7" w14:textId="302D0745" w:rsidR="006F4494" w:rsidRDefault="006F4494" w:rsidP="00517B11">
            <w:r>
              <w:t>0</w:t>
            </w:r>
          </w:p>
        </w:tc>
        <w:tc>
          <w:tcPr>
            <w:tcW w:w="1795" w:type="dxa"/>
          </w:tcPr>
          <w:p w14:paraId="5CE77B48" w14:textId="0922C5A2" w:rsidR="006F4494" w:rsidRDefault="006F4494" w:rsidP="00517B11">
            <w:r>
              <w:t>11.</w:t>
            </w:r>
            <w:r>
              <w:t>7</w:t>
            </w:r>
          </w:p>
        </w:tc>
        <w:tc>
          <w:tcPr>
            <w:tcW w:w="1538" w:type="dxa"/>
          </w:tcPr>
          <w:p w14:paraId="37715552" w14:textId="16049E70" w:rsidR="006F4494" w:rsidRDefault="006F4494" w:rsidP="00517B11">
            <w:r>
              <w:t>17.</w:t>
            </w:r>
            <w:r>
              <w:t>0</w:t>
            </w:r>
          </w:p>
        </w:tc>
      </w:tr>
      <w:tr w:rsidR="006F4494" w14:paraId="7B86299D" w14:textId="77777777" w:rsidTr="006F4494">
        <w:tc>
          <w:tcPr>
            <w:tcW w:w="1474" w:type="dxa"/>
          </w:tcPr>
          <w:p w14:paraId="1117BE53" w14:textId="6C3A9EBE" w:rsidR="006F4494" w:rsidRDefault="006F4494" w:rsidP="00517B11">
            <w:r>
              <w:t>2</w:t>
            </w:r>
          </w:p>
        </w:tc>
        <w:tc>
          <w:tcPr>
            <w:tcW w:w="1732" w:type="dxa"/>
          </w:tcPr>
          <w:p w14:paraId="56ED292D" w14:textId="4A7CBD67" w:rsidR="006F4494" w:rsidRDefault="006F4494" w:rsidP="00517B11">
            <w:r>
              <w:t>0</w:t>
            </w:r>
          </w:p>
        </w:tc>
        <w:tc>
          <w:tcPr>
            <w:tcW w:w="1795" w:type="dxa"/>
          </w:tcPr>
          <w:p w14:paraId="635197EF" w14:textId="01B49E1F" w:rsidR="006F4494" w:rsidRDefault="006F4494" w:rsidP="00517B11">
            <w:r>
              <w:t>12.0</w:t>
            </w:r>
          </w:p>
        </w:tc>
        <w:tc>
          <w:tcPr>
            <w:tcW w:w="1538" w:type="dxa"/>
          </w:tcPr>
          <w:p w14:paraId="4C3E9DF1" w14:textId="77DCCA4F" w:rsidR="006F4494" w:rsidRDefault="006F4494" w:rsidP="00517B11">
            <w:r>
              <w:t>13.9</w:t>
            </w:r>
          </w:p>
        </w:tc>
      </w:tr>
      <w:tr w:rsidR="006F4494" w14:paraId="01EC60E6" w14:textId="77777777" w:rsidTr="006F4494">
        <w:tc>
          <w:tcPr>
            <w:tcW w:w="1474" w:type="dxa"/>
          </w:tcPr>
          <w:p w14:paraId="64F7680A" w14:textId="1FE8E273" w:rsidR="006F4494" w:rsidRDefault="006F4494" w:rsidP="00517B11">
            <w:r>
              <w:t>3</w:t>
            </w:r>
          </w:p>
        </w:tc>
        <w:tc>
          <w:tcPr>
            <w:tcW w:w="1732" w:type="dxa"/>
          </w:tcPr>
          <w:p w14:paraId="025F3927" w14:textId="2E7B025E" w:rsidR="006F4494" w:rsidRDefault="006F4494" w:rsidP="00517B11">
            <w:r>
              <w:t>0</w:t>
            </w:r>
          </w:p>
        </w:tc>
        <w:tc>
          <w:tcPr>
            <w:tcW w:w="1795" w:type="dxa"/>
          </w:tcPr>
          <w:p w14:paraId="1A2047C4" w14:textId="4D94FA8E" w:rsidR="006F4494" w:rsidRDefault="006F4494" w:rsidP="00517B11">
            <w:r>
              <w:t>20.6</w:t>
            </w:r>
          </w:p>
        </w:tc>
        <w:tc>
          <w:tcPr>
            <w:tcW w:w="1538" w:type="dxa"/>
          </w:tcPr>
          <w:p w14:paraId="636DDF54" w14:textId="53153BAA" w:rsidR="006F4494" w:rsidRDefault="006F4494" w:rsidP="00517B11">
            <w:r>
              <w:t>19.0</w:t>
            </w:r>
          </w:p>
        </w:tc>
      </w:tr>
      <w:tr w:rsidR="006F4494" w14:paraId="41518392" w14:textId="77777777" w:rsidTr="006F4494">
        <w:tc>
          <w:tcPr>
            <w:tcW w:w="1474" w:type="dxa"/>
          </w:tcPr>
          <w:p w14:paraId="644DFC1E" w14:textId="44442055" w:rsidR="006F4494" w:rsidRDefault="006F4494" w:rsidP="00517B11">
            <w:r>
              <w:t>4</w:t>
            </w:r>
          </w:p>
        </w:tc>
        <w:tc>
          <w:tcPr>
            <w:tcW w:w="1732" w:type="dxa"/>
          </w:tcPr>
          <w:p w14:paraId="1ECDFD52" w14:textId="1457F595" w:rsidR="006F4494" w:rsidRDefault="006F4494" w:rsidP="00517B11">
            <w:r>
              <w:t>1</w:t>
            </w:r>
          </w:p>
        </w:tc>
        <w:tc>
          <w:tcPr>
            <w:tcW w:w="1795" w:type="dxa"/>
          </w:tcPr>
          <w:p w14:paraId="5F7BE4EA" w14:textId="4C6D3CF1" w:rsidR="006F4494" w:rsidRDefault="006F4494" w:rsidP="00517B11">
            <w:r>
              <w:t>17.7</w:t>
            </w:r>
          </w:p>
        </w:tc>
        <w:tc>
          <w:tcPr>
            <w:tcW w:w="1538" w:type="dxa"/>
          </w:tcPr>
          <w:p w14:paraId="2F09D2B4" w14:textId="077E16D4" w:rsidR="006F4494" w:rsidRDefault="006F4494" w:rsidP="00517B11">
            <w:r>
              <w:t>14.9</w:t>
            </w:r>
          </w:p>
        </w:tc>
      </w:tr>
      <w:tr w:rsidR="006F4494" w14:paraId="726A86D6" w14:textId="77777777" w:rsidTr="006F4494">
        <w:tc>
          <w:tcPr>
            <w:tcW w:w="1474" w:type="dxa"/>
          </w:tcPr>
          <w:p w14:paraId="6F315DA4" w14:textId="04992C75" w:rsidR="006F4494" w:rsidRDefault="006F4494" w:rsidP="00517B11">
            <w:r>
              <w:t>5</w:t>
            </w:r>
          </w:p>
        </w:tc>
        <w:tc>
          <w:tcPr>
            <w:tcW w:w="1732" w:type="dxa"/>
          </w:tcPr>
          <w:p w14:paraId="53E2421B" w14:textId="3F986B30" w:rsidR="006F4494" w:rsidRDefault="006F4494" w:rsidP="00517B11">
            <w:r>
              <w:t>1</w:t>
            </w:r>
          </w:p>
        </w:tc>
        <w:tc>
          <w:tcPr>
            <w:tcW w:w="1795" w:type="dxa"/>
          </w:tcPr>
          <w:p w14:paraId="2A0EE472" w14:textId="2B8E649A" w:rsidR="006F4494" w:rsidRDefault="006F4494" w:rsidP="00517B11">
            <w:r>
              <w:t>9.10</w:t>
            </w:r>
          </w:p>
        </w:tc>
        <w:tc>
          <w:tcPr>
            <w:tcW w:w="1538" w:type="dxa"/>
          </w:tcPr>
          <w:p w14:paraId="185EACB4" w14:textId="36FCEF03" w:rsidR="006F4494" w:rsidRDefault="006F4494" w:rsidP="00517B11">
            <w:r>
              <w:t>12.7</w:t>
            </w:r>
          </w:p>
        </w:tc>
      </w:tr>
      <w:tr w:rsidR="006F4494" w14:paraId="05F9F658" w14:textId="77777777" w:rsidTr="006F4494">
        <w:tc>
          <w:tcPr>
            <w:tcW w:w="1474" w:type="dxa"/>
          </w:tcPr>
          <w:p w14:paraId="7BC3BAB2" w14:textId="034B343D" w:rsidR="006F4494" w:rsidRDefault="006F4494" w:rsidP="00517B11">
            <w:r>
              <w:t>6</w:t>
            </w:r>
          </w:p>
        </w:tc>
        <w:tc>
          <w:tcPr>
            <w:tcW w:w="1732" w:type="dxa"/>
          </w:tcPr>
          <w:p w14:paraId="1EDE41B7" w14:textId="5554E27C" w:rsidR="006F4494" w:rsidRDefault="006F4494" w:rsidP="00517B11">
            <w:r>
              <w:t>1</w:t>
            </w:r>
          </w:p>
        </w:tc>
        <w:tc>
          <w:tcPr>
            <w:tcW w:w="1795" w:type="dxa"/>
          </w:tcPr>
          <w:p w14:paraId="4F8BD77B" w14:textId="50B596AC" w:rsidR="006F4494" w:rsidRDefault="006F4494" w:rsidP="00517B11">
            <w:r>
              <w:t>11.7</w:t>
            </w:r>
          </w:p>
        </w:tc>
        <w:tc>
          <w:tcPr>
            <w:tcW w:w="1538" w:type="dxa"/>
          </w:tcPr>
          <w:p w14:paraId="42D666E5" w14:textId="6C2390AB" w:rsidR="006F4494" w:rsidRDefault="006F4494" w:rsidP="00517B11">
            <w:r>
              <w:t>14.8</w:t>
            </w:r>
          </w:p>
        </w:tc>
      </w:tr>
      <w:tr w:rsidR="006F4494" w14:paraId="10136C86" w14:textId="77777777" w:rsidTr="006F4494">
        <w:tc>
          <w:tcPr>
            <w:tcW w:w="1474" w:type="dxa"/>
          </w:tcPr>
          <w:p w14:paraId="616C54B3" w14:textId="771FB052" w:rsidR="006F4494" w:rsidRDefault="006F4494" w:rsidP="00517B11">
            <w:r>
              <w:t>7</w:t>
            </w:r>
          </w:p>
        </w:tc>
        <w:tc>
          <w:tcPr>
            <w:tcW w:w="1732" w:type="dxa"/>
          </w:tcPr>
          <w:p w14:paraId="13FA42DA" w14:textId="6D61B1E6" w:rsidR="006F4494" w:rsidRDefault="006F4494" w:rsidP="00517B11">
            <w:r>
              <w:t>1</w:t>
            </w:r>
          </w:p>
        </w:tc>
        <w:tc>
          <w:tcPr>
            <w:tcW w:w="1795" w:type="dxa"/>
          </w:tcPr>
          <w:p w14:paraId="02E36749" w14:textId="4E4C243D" w:rsidR="006F4494" w:rsidRDefault="006F4494" w:rsidP="00517B11">
            <w:r>
              <w:t>11.0</w:t>
            </w:r>
          </w:p>
        </w:tc>
        <w:tc>
          <w:tcPr>
            <w:tcW w:w="1538" w:type="dxa"/>
          </w:tcPr>
          <w:p w14:paraId="68FE16EF" w14:textId="5A170E54" w:rsidR="006F4494" w:rsidRDefault="006F4494" w:rsidP="00517B11">
            <w:r>
              <w:t>18.7</w:t>
            </w:r>
          </w:p>
        </w:tc>
      </w:tr>
      <w:tr w:rsidR="006F4494" w14:paraId="61F6A990" w14:textId="77777777" w:rsidTr="006F4494">
        <w:trPr>
          <w:trHeight w:val="260"/>
        </w:trPr>
        <w:tc>
          <w:tcPr>
            <w:tcW w:w="1474" w:type="dxa"/>
          </w:tcPr>
          <w:p w14:paraId="63551BAA" w14:textId="4ED3D8B2" w:rsidR="006F4494" w:rsidRDefault="006F4494" w:rsidP="00517B11">
            <w:r>
              <w:t>8</w:t>
            </w:r>
          </w:p>
        </w:tc>
        <w:tc>
          <w:tcPr>
            <w:tcW w:w="1732" w:type="dxa"/>
          </w:tcPr>
          <w:p w14:paraId="531331E2" w14:textId="57F2A549" w:rsidR="006F4494" w:rsidRDefault="006F4494" w:rsidP="00517B11">
            <w:r>
              <w:t>1</w:t>
            </w:r>
          </w:p>
        </w:tc>
        <w:tc>
          <w:tcPr>
            <w:tcW w:w="1795" w:type="dxa"/>
          </w:tcPr>
          <w:p w14:paraId="226D7EE0" w14:textId="418D8202" w:rsidR="006F4494" w:rsidRDefault="006F4494" w:rsidP="00517B11">
            <w:r>
              <w:t>15.7</w:t>
            </w:r>
          </w:p>
        </w:tc>
        <w:tc>
          <w:tcPr>
            <w:tcW w:w="1538" w:type="dxa"/>
          </w:tcPr>
          <w:p w14:paraId="5DA90DB2" w14:textId="6CC16A3B" w:rsidR="006F4494" w:rsidRDefault="006F4494" w:rsidP="00517B11">
            <w:r>
              <w:t>18.5</w:t>
            </w:r>
          </w:p>
        </w:tc>
      </w:tr>
    </w:tbl>
    <w:p w14:paraId="064D3B1F" w14:textId="77777777" w:rsidR="00352E9C" w:rsidRDefault="00352E9C" w:rsidP="00517B11"/>
    <w:p w14:paraId="42972432" w14:textId="77777777" w:rsidR="00813B0D" w:rsidRPr="00813B0D" w:rsidRDefault="00813B0D" w:rsidP="00813B0D">
      <w:pPr>
        <w:numPr>
          <w:ilvl w:val="0"/>
          <w:numId w:val="1"/>
        </w:numPr>
      </w:pPr>
      <w:r w:rsidRPr="00813B0D">
        <w:rPr>
          <w:rFonts w:hint="cs"/>
        </w:rPr>
        <w:t xml:space="preserve">Dai, </w:t>
      </w:r>
      <w:proofErr w:type="spellStart"/>
      <w:r w:rsidRPr="00813B0D">
        <w:rPr>
          <w:rFonts w:hint="cs"/>
        </w:rPr>
        <w:t>Jiajie</w:t>
      </w:r>
      <w:proofErr w:type="spellEnd"/>
      <w:r w:rsidRPr="00813B0D">
        <w:rPr>
          <w:rFonts w:hint="cs"/>
        </w:rPr>
        <w:t xml:space="preserve">, Matthias </w:t>
      </w:r>
      <w:proofErr w:type="spellStart"/>
      <w:r w:rsidRPr="00813B0D">
        <w:rPr>
          <w:rFonts w:hint="cs"/>
        </w:rPr>
        <w:t>Mauch</w:t>
      </w:r>
      <w:proofErr w:type="spellEnd"/>
      <w:r w:rsidRPr="00813B0D">
        <w:rPr>
          <w:rFonts w:hint="cs"/>
        </w:rPr>
        <w:t xml:space="preserve">, and Simon Dixon. "Analysis of intonation trajectories in solo singing." In </w:t>
      </w:r>
      <w:r w:rsidRPr="00813B0D">
        <w:rPr>
          <w:rFonts w:hint="cs"/>
          <w:i/>
          <w:iCs/>
        </w:rPr>
        <w:t>Proceedings of the 16th ISMIR Conference</w:t>
      </w:r>
      <w:r w:rsidRPr="00813B0D">
        <w:rPr>
          <w:rFonts w:hint="cs"/>
        </w:rPr>
        <w:t>, vol. 421, p. 29. 2015.</w:t>
      </w:r>
    </w:p>
    <w:p w14:paraId="3B54590C" w14:textId="0760158F" w:rsidR="00813B0D" w:rsidRPr="00813B0D" w:rsidRDefault="00813B0D" w:rsidP="00813B0D">
      <w:pPr>
        <w:numPr>
          <w:ilvl w:val="0"/>
          <w:numId w:val="1"/>
        </w:numPr>
      </w:pPr>
      <w:r w:rsidRPr="00813B0D">
        <w:rPr>
          <w:rFonts w:hint="cs"/>
        </w:rPr>
        <w:t xml:space="preserve">Devaney, Johanna, </w:t>
      </w:r>
      <w:r w:rsidR="00664BD6">
        <w:t>3</w:t>
      </w:r>
      <w:r w:rsidRPr="00813B0D">
        <w:rPr>
          <w:rFonts w:hint="cs"/>
        </w:rPr>
        <w:t xml:space="preserve">Michael I. Mandel, and Ichiro </w:t>
      </w:r>
      <w:proofErr w:type="spellStart"/>
      <w:r w:rsidRPr="00813B0D">
        <w:rPr>
          <w:rFonts w:hint="cs"/>
        </w:rPr>
        <w:t>Fujinaga</w:t>
      </w:r>
      <w:proofErr w:type="spellEnd"/>
      <w:r w:rsidRPr="00813B0D">
        <w:rPr>
          <w:rFonts w:hint="cs"/>
        </w:rPr>
        <w:t xml:space="preserve">. “A Study of Intonation in Three-Part Singing Using the Automatic Music Performance Analysis and Comparison Toolkit (AMPACT).” In </w:t>
      </w:r>
      <w:r w:rsidRPr="00813B0D">
        <w:rPr>
          <w:rFonts w:hint="cs"/>
          <w:i/>
          <w:iCs/>
        </w:rPr>
        <w:t>ISMIR</w:t>
      </w:r>
      <w:r w:rsidRPr="00813B0D">
        <w:rPr>
          <w:rFonts w:hint="cs"/>
        </w:rPr>
        <w:t xml:space="preserve">, 511–16. </w:t>
      </w:r>
      <w:proofErr w:type="spellStart"/>
      <w:r w:rsidRPr="00813B0D">
        <w:rPr>
          <w:rFonts w:hint="cs"/>
        </w:rPr>
        <w:t>Citeseer</w:t>
      </w:r>
      <w:proofErr w:type="spellEnd"/>
      <w:r w:rsidRPr="00813B0D">
        <w:rPr>
          <w:rFonts w:hint="cs"/>
        </w:rPr>
        <w:t xml:space="preserve">, 2012. </w:t>
      </w:r>
      <w:hyperlink r:id="rId7" w:history="1">
        <w:r w:rsidRPr="00813B0D">
          <w:rPr>
            <w:rStyle w:val="Hyperlink"/>
            <w:rFonts w:hint="cs"/>
          </w:rPr>
          <w:t>https://citeseerx.ist.psu.edu/document?repid=rep1&amp;type=pdf&amp;doi=0083e2861d97841e0a27e22c12834053d7259c23</w:t>
        </w:r>
      </w:hyperlink>
      <w:r w:rsidRPr="00813B0D">
        <w:rPr>
          <w:rFonts w:hint="cs"/>
        </w:rPr>
        <w:t>.</w:t>
      </w:r>
    </w:p>
    <w:p w14:paraId="2DE8F4C2" w14:textId="77777777" w:rsidR="00813B0D" w:rsidRPr="00813B0D" w:rsidRDefault="00813B0D" w:rsidP="00813B0D">
      <w:pPr>
        <w:numPr>
          <w:ilvl w:val="0"/>
          <w:numId w:val="1"/>
        </w:numPr>
      </w:pPr>
      <w:proofErr w:type="spellStart"/>
      <w:r w:rsidRPr="00813B0D">
        <w:rPr>
          <w:rFonts w:hint="cs"/>
        </w:rPr>
        <w:t>Mauch</w:t>
      </w:r>
      <w:proofErr w:type="spellEnd"/>
      <w:r w:rsidRPr="00813B0D">
        <w:rPr>
          <w:rFonts w:hint="cs"/>
        </w:rPr>
        <w:t xml:space="preserve">, Matthias, and Simon Dixon. “PYIN: A Fundamental Frequency Estimator Using Probabilistic Threshold Distributions.” In </w:t>
      </w:r>
      <w:r w:rsidRPr="00813B0D">
        <w:rPr>
          <w:rFonts w:hint="cs"/>
          <w:i/>
          <w:iCs/>
        </w:rPr>
        <w:t xml:space="preserve">2014 IEEE International Conference on Acoustics, </w:t>
      </w:r>
      <w:proofErr w:type="gramStart"/>
      <w:r w:rsidRPr="00813B0D">
        <w:rPr>
          <w:rFonts w:hint="cs"/>
          <w:i/>
          <w:iCs/>
        </w:rPr>
        <w:t>Speech</w:t>
      </w:r>
      <w:proofErr w:type="gramEnd"/>
      <w:r w:rsidRPr="00813B0D">
        <w:rPr>
          <w:rFonts w:hint="cs"/>
          <w:i/>
          <w:iCs/>
        </w:rPr>
        <w:t xml:space="preserve"> and Signal Processing (ICASSP)</w:t>
      </w:r>
      <w:r w:rsidRPr="00813B0D">
        <w:rPr>
          <w:rFonts w:hint="cs"/>
        </w:rPr>
        <w:t xml:space="preserve">, 659–63. Florence, Italy: IEEE, 2014. </w:t>
      </w:r>
      <w:hyperlink r:id="rId8" w:history="1">
        <w:r w:rsidRPr="00813B0D">
          <w:rPr>
            <w:rStyle w:val="Hyperlink"/>
            <w:rFonts w:hint="cs"/>
          </w:rPr>
          <w:t>https://doi.org/10.1109/ICASSP.2014.6853678</w:t>
        </w:r>
      </w:hyperlink>
      <w:r w:rsidRPr="00813B0D">
        <w:rPr>
          <w:rFonts w:hint="cs"/>
        </w:rPr>
        <w:t>.</w:t>
      </w:r>
    </w:p>
    <w:p w14:paraId="5D027052" w14:textId="77777777" w:rsidR="00813B0D" w:rsidRPr="00813B0D" w:rsidRDefault="00813B0D" w:rsidP="00813B0D">
      <w:pPr>
        <w:numPr>
          <w:ilvl w:val="0"/>
          <w:numId w:val="1"/>
        </w:numPr>
      </w:pPr>
      <w:r w:rsidRPr="00813B0D">
        <w:rPr>
          <w:rFonts w:hint="cs"/>
        </w:rPr>
        <w:t xml:space="preserve">McFee, Brian, Colin </w:t>
      </w:r>
      <w:proofErr w:type="spellStart"/>
      <w:r w:rsidRPr="00813B0D">
        <w:rPr>
          <w:rFonts w:hint="cs"/>
        </w:rPr>
        <w:t>Raffel</w:t>
      </w:r>
      <w:proofErr w:type="spellEnd"/>
      <w:r w:rsidRPr="00813B0D">
        <w:rPr>
          <w:rFonts w:hint="cs"/>
        </w:rPr>
        <w:t xml:space="preserve">, </w:t>
      </w:r>
      <w:proofErr w:type="spellStart"/>
      <w:r w:rsidRPr="00813B0D">
        <w:rPr>
          <w:rFonts w:hint="cs"/>
        </w:rPr>
        <w:t>Dawen</w:t>
      </w:r>
      <w:proofErr w:type="spellEnd"/>
      <w:r w:rsidRPr="00813B0D">
        <w:rPr>
          <w:rFonts w:hint="cs"/>
        </w:rPr>
        <w:t xml:space="preserve"> Liang, Daniel Ellis, Matt McVicar, Eric Battenberg, and Oriol Nieto. “</w:t>
      </w:r>
      <w:proofErr w:type="spellStart"/>
      <w:r w:rsidRPr="00813B0D">
        <w:rPr>
          <w:rFonts w:hint="cs"/>
        </w:rPr>
        <w:t>Librosa</w:t>
      </w:r>
      <w:proofErr w:type="spellEnd"/>
      <w:r w:rsidRPr="00813B0D">
        <w:rPr>
          <w:rFonts w:hint="cs"/>
        </w:rPr>
        <w:t xml:space="preserve">: Audio and Music Signal Analysis in Python,” 18–24. Austin, Texas, 2015. </w:t>
      </w:r>
      <w:hyperlink r:id="rId9" w:history="1">
        <w:r w:rsidRPr="00813B0D">
          <w:rPr>
            <w:rStyle w:val="Hyperlink"/>
            <w:rFonts w:hint="cs"/>
          </w:rPr>
          <w:t>https://doi.org/10.25080/Majora-7b98e3ed-003</w:t>
        </w:r>
      </w:hyperlink>
      <w:r w:rsidRPr="00813B0D">
        <w:rPr>
          <w:rFonts w:hint="cs"/>
        </w:rPr>
        <w:t>.</w:t>
      </w:r>
    </w:p>
    <w:p w14:paraId="419BDC52" w14:textId="77777777" w:rsidR="00813B0D" w:rsidRPr="00813B0D" w:rsidRDefault="00813B0D" w:rsidP="00813B0D">
      <w:pPr>
        <w:numPr>
          <w:ilvl w:val="0"/>
          <w:numId w:val="1"/>
        </w:numPr>
      </w:pPr>
      <w:r w:rsidRPr="00813B0D">
        <w:rPr>
          <w:rFonts w:hint="cs"/>
        </w:rPr>
        <w:t xml:space="preserve">Teixeira, Euler C.F., Mauricio A. Loureiro, Marcelo M. Wanderley, and Hani C. Yehia. “Motion Analysis of Clarinet Performers.” </w:t>
      </w:r>
      <w:r w:rsidRPr="00813B0D">
        <w:rPr>
          <w:rFonts w:hint="cs"/>
          <w:i/>
          <w:iCs/>
        </w:rPr>
        <w:t>Journal of New Music Research</w:t>
      </w:r>
      <w:r w:rsidRPr="00813B0D">
        <w:rPr>
          <w:rFonts w:hint="cs"/>
        </w:rPr>
        <w:t xml:space="preserve"> 44, no. 2 (April 3, 2015): 97–111. </w:t>
      </w:r>
      <w:hyperlink r:id="rId10" w:history="1">
        <w:r w:rsidRPr="00813B0D">
          <w:rPr>
            <w:rStyle w:val="Hyperlink"/>
            <w:rFonts w:hint="cs"/>
          </w:rPr>
          <w:t>https://doi.org/10.1080/09298215.2014.925939</w:t>
        </w:r>
      </w:hyperlink>
      <w:r w:rsidRPr="00813B0D">
        <w:rPr>
          <w:rFonts w:hint="cs"/>
        </w:rPr>
        <w:t>.</w:t>
      </w:r>
    </w:p>
    <w:p w14:paraId="13600A29" w14:textId="77777777" w:rsidR="00813B0D" w:rsidRPr="00813B0D" w:rsidRDefault="00813B0D" w:rsidP="00813B0D">
      <w:pPr>
        <w:numPr>
          <w:ilvl w:val="0"/>
          <w:numId w:val="1"/>
        </w:numPr>
      </w:pPr>
      <w:r w:rsidRPr="00813B0D">
        <w:rPr>
          <w:rFonts w:hint="cs"/>
        </w:rPr>
        <w:t xml:space="preserve">Wanderley, Marcelo M. “Quantitative Analysis of Non-Obvious Performer Gestures.” In </w:t>
      </w:r>
      <w:r w:rsidRPr="00813B0D">
        <w:rPr>
          <w:rFonts w:hint="cs"/>
          <w:i/>
          <w:iCs/>
        </w:rPr>
        <w:t>Gesture and Sign Language in Human-Computer Interaction</w:t>
      </w:r>
      <w:r w:rsidRPr="00813B0D">
        <w:rPr>
          <w:rFonts w:hint="cs"/>
        </w:rPr>
        <w:t xml:space="preserve">, edited by </w:t>
      </w:r>
      <w:proofErr w:type="spellStart"/>
      <w:r w:rsidRPr="00813B0D">
        <w:rPr>
          <w:rFonts w:hint="cs"/>
        </w:rPr>
        <w:t>Ipke</w:t>
      </w:r>
      <w:proofErr w:type="spellEnd"/>
      <w:r w:rsidRPr="00813B0D">
        <w:rPr>
          <w:rFonts w:hint="cs"/>
        </w:rPr>
        <w:t xml:space="preserve"> </w:t>
      </w:r>
      <w:proofErr w:type="spellStart"/>
      <w:r w:rsidRPr="00813B0D">
        <w:rPr>
          <w:rFonts w:hint="cs"/>
        </w:rPr>
        <w:t>Wachsmuth</w:t>
      </w:r>
      <w:proofErr w:type="spellEnd"/>
      <w:r w:rsidRPr="00813B0D">
        <w:rPr>
          <w:rFonts w:hint="cs"/>
        </w:rPr>
        <w:t xml:space="preserve"> and Timo Sowa, 241–53. Lecture Notes in Computer Science. Berlin, Heidelberg: Springer, 2002. </w:t>
      </w:r>
      <w:hyperlink r:id="rId11" w:history="1">
        <w:r w:rsidRPr="00813B0D">
          <w:rPr>
            <w:rStyle w:val="Hyperlink"/>
            <w:rFonts w:hint="cs"/>
          </w:rPr>
          <w:t>https://doi.org/10.1007/3-540-47873-6_26</w:t>
        </w:r>
      </w:hyperlink>
      <w:r w:rsidRPr="00813B0D">
        <w:rPr>
          <w:rFonts w:hint="cs"/>
        </w:rPr>
        <w:t>.</w:t>
      </w:r>
    </w:p>
    <w:p w14:paraId="66728E99" w14:textId="77777777" w:rsidR="00813B0D" w:rsidRPr="00813B0D" w:rsidRDefault="00813B0D" w:rsidP="00813B0D">
      <w:pPr>
        <w:numPr>
          <w:ilvl w:val="0"/>
          <w:numId w:val="1"/>
        </w:numPr>
      </w:pPr>
      <w:r w:rsidRPr="00813B0D">
        <w:rPr>
          <w:rFonts w:hint="cs"/>
        </w:rPr>
        <w:lastRenderedPageBreak/>
        <w:t xml:space="preserve">Wanderley, Marcelo M, Bradley W Vines, Neil Middleton, Cory McKay, and Wesley Hatch. “The Musical Significance of Clarinetists’ Ancillary Gestures: An Exploration of the Field.” Journal of New Music Research 34, no. 1 (March 1, 2005): 97–113. </w:t>
      </w:r>
      <w:hyperlink r:id="rId12" w:history="1">
        <w:r w:rsidRPr="00813B0D">
          <w:rPr>
            <w:rStyle w:val="Hyperlink"/>
            <w:rFonts w:hint="cs"/>
          </w:rPr>
          <w:t>https://doi.org/10.1080/09298210500124208</w:t>
        </w:r>
      </w:hyperlink>
      <w:r w:rsidRPr="00813B0D">
        <w:rPr>
          <w:rFonts w:hint="cs"/>
        </w:rPr>
        <w:t>.</w:t>
      </w:r>
    </w:p>
    <w:p w14:paraId="09745E8A" w14:textId="162FFA91" w:rsidR="00280749" w:rsidRDefault="00280749" w:rsidP="002E3507"/>
    <w:sectPr w:rsidR="00280749" w:rsidSect="006C5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F4805" w14:textId="77777777" w:rsidR="00E66D53" w:rsidRDefault="00E66D53" w:rsidP="00280749">
      <w:r>
        <w:separator/>
      </w:r>
    </w:p>
  </w:endnote>
  <w:endnote w:type="continuationSeparator" w:id="0">
    <w:p w14:paraId="578A411E" w14:textId="77777777" w:rsidR="00E66D53" w:rsidRDefault="00E66D53" w:rsidP="00280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7ABFB" w14:textId="77777777" w:rsidR="00E66D53" w:rsidRDefault="00E66D53" w:rsidP="00280749">
      <w:r>
        <w:separator/>
      </w:r>
    </w:p>
  </w:footnote>
  <w:footnote w:type="continuationSeparator" w:id="0">
    <w:p w14:paraId="72D0985D" w14:textId="77777777" w:rsidR="00E66D53" w:rsidRDefault="00E66D53" w:rsidP="00280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62D3"/>
    <w:multiLevelType w:val="hybridMultilevel"/>
    <w:tmpl w:val="04A21308"/>
    <w:lvl w:ilvl="0" w:tplc="8356F6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4F8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047E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920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BCB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705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0F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00DC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AC2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66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BF"/>
    <w:rsid w:val="00065CA1"/>
    <w:rsid w:val="0008745D"/>
    <w:rsid w:val="000A113B"/>
    <w:rsid w:val="002718D5"/>
    <w:rsid w:val="00280749"/>
    <w:rsid w:val="002D2B26"/>
    <w:rsid w:val="002E3507"/>
    <w:rsid w:val="00352E9C"/>
    <w:rsid w:val="003D1440"/>
    <w:rsid w:val="004F5AB8"/>
    <w:rsid w:val="00517B11"/>
    <w:rsid w:val="00560460"/>
    <w:rsid w:val="00664BD6"/>
    <w:rsid w:val="006C5415"/>
    <w:rsid w:val="006F4494"/>
    <w:rsid w:val="00813B0D"/>
    <w:rsid w:val="00820ABF"/>
    <w:rsid w:val="00AC6572"/>
    <w:rsid w:val="00B87D68"/>
    <w:rsid w:val="00D556B5"/>
    <w:rsid w:val="00DC7487"/>
    <w:rsid w:val="00E6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04F8B"/>
  <w15:chartTrackingRefBased/>
  <w15:docId w15:val="{E1DE6C5D-C320-B944-9B97-6F59AB9D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8074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07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0749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80749"/>
    <w:pPr>
      <w:ind w:left="720" w:hanging="720"/>
    </w:pPr>
  </w:style>
  <w:style w:type="table" w:styleId="TableGrid">
    <w:name w:val="Table Grid"/>
    <w:basedOn w:val="TableNormal"/>
    <w:uiPriority w:val="39"/>
    <w:rsid w:val="00352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3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2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6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09/ICASSP.2014.685367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iteseerx.ist.psu.edu/document?repid=rep1&amp;type=pdf&amp;doi=0083e2861d97841e0a27e22c12834053d7259c23" TargetMode="External"/><Relationship Id="rId12" Type="http://schemas.openxmlformats.org/officeDocument/2006/relationships/hyperlink" Target="https://doi.org/10.1080/092982105001242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3-540-47873-6_2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080/09298215.2014.9259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5080/Majora-7b98e3ed-0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March</dc:creator>
  <cp:keywords/>
  <dc:description/>
  <cp:lastModifiedBy>Lucas March</cp:lastModifiedBy>
  <cp:revision>7</cp:revision>
  <dcterms:created xsi:type="dcterms:W3CDTF">2023-10-23T20:50:00Z</dcterms:created>
  <dcterms:modified xsi:type="dcterms:W3CDTF">2023-10-25T04:31:00Z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zotero-version="6.0.28"&gt;&lt;session id="EODzPmLQ"/&gt;&lt;style id="http://www.zotero.org/styles/chicago-note-bibliography" locale="en-CA" hasBibliography="1" bibliographyStyleHasBeenSet="1"/&gt;&lt;prefs&gt;&lt;pref name="fieldType" value="Field"/&gt;&lt;pre</vt:lpwstr>
  </property>
  <property fmtid="{D5CDD505-2E9C-101B-9397-08002B2CF9AE}" pid="3" name="ZOTERO_PREF_2">
    <vt:lpwstr>f name="automaticJournalAbbreviations" value="true"/&gt;&lt;pref name="noteType" value="1"/&gt;&lt;/prefs&gt;&lt;/data&gt;</vt:lpwstr>
  </property>
</Properties>
</file>