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0C4F8966" w:rsidR="00DA764F" w:rsidRPr="00DA764F" w:rsidRDefault="001E6E49" w:rsidP="001E6E49">
      <w:pPr>
        <w:pStyle w:val="Ttulo1"/>
        <w:jc w:val="center"/>
      </w:pPr>
      <w:bookmarkStart w:id="0" w:name="_Hlk197974188"/>
      <w:r>
        <w:rPr>
          <w:bCs/>
        </w:rPr>
        <w:t>Dez anos de Backpei: uma análise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Default="00CD5FF1" w:rsidP="00C75E8A">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161F96">
        <w:rPr>
          <w:rFonts w:cs="Arial"/>
          <w:kern w:val="0"/>
        </w:rPr>
        <w:t xml:space="preserve">(Beraldo; Silva; Candotti, 2022; Lorente </w:t>
      </w:r>
      <w:r w:rsidR="00161F96" w:rsidRPr="00161F96">
        <w:rPr>
          <w:rFonts w:cs="Arial"/>
          <w:i/>
          <w:iCs/>
          <w:kern w:val="0"/>
        </w:rPr>
        <w:t>et al.</w:t>
      </w:r>
      <w:r w:rsidR="00161F96" w:rsidRPr="00161F96">
        <w:rPr>
          <w:rFonts w:cs="Arial"/>
          <w:kern w:val="0"/>
        </w:rPr>
        <w:t xml:space="preserve">, 2020; Mokkink, Lidwine B. </w:t>
      </w:r>
      <w:r w:rsidR="00161F96" w:rsidRPr="00161F96">
        <w:rPr>
          <w:rFonts w:cs="Arial"/>
          <w:i/>
          <w:iCs/>
          <w:kern w:val="0"/>
        </w:rPr>
        <w:t>et al.</w:t>
      </w:r>
      <w:r w:rsidR="00161F96" w:rsidRPr="00161F96">
        <w:rPr>
          <w:rFonts w:cs="Arial"/>
          <w:kern w:val="0"/>
        </w:rPr>
        <w:t xml:space="preserve">, 2010; Terwee </w:t>
      </w:r>
      <w:r w:rsidR="00161F96" w:rsidRPr="00161F96">
        <w:rPr>
          <w:rFonts w:cs="Arial"/>
          <w:i/>
          <w:iCs/>
          <w:kern w:val="0"/>
        </w:rPr>
        <w:t>et al.</w:t>
      </w:r>
      <w:r w:rsidR="00161F96" w:rsidRPr="00161F96">
        <w:rPr>
          <w:rFonts w:cs="Arial"/>
          <w:kern w:val="0"/>
        </w:rPr>
        <w:t>, 2016)</w:t>
      </w:r>
      <w:r w:rsidR="00F23FBC">
        <w:fldChar w:fldCharType="end"/>
      </w:r>
      <w:r w:rsidR="00C75E8A">
        <w:t>.</w:t>
      </w:r>
    </w:p>
    <w:p w14:paraId="64540E32" w14:textId="55ADD81D" w:rsidR="00CD5FF1" w:rsidRDefault="00E44B18" w:rsidP="00EB649E">
      <w:commentRangeStart w:id="1"/>
      <w:r>
        <w:t>Ainda assim, várias pesquisas se dedicam ao desenvolvimento e avaliação de sistemas de medição que são posteriormente aplicados nas pesquisas dentro da ciência da saúde contribuindo para a produção de conhecimento do campo</w:t>
      </w:r>
      <w:r w:rsidR="009850FC">
        <w:t>. A esse conjunto de pesquisas estamos chamando de clinimetria, que, embora não seja uma disciplina formalizada no campo da ciência da saúde, apresenta um significativo volume de estudos e grande importância.</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commentRangeEnd w:id="1"/>
      <w:r w:rsidR="009850FC">
        <w:rPr>
          <w:rStyle w:val="Refdecomentrio"/>
        </w:rPr>
        <w:commentReference w:id="1"/>
      </w:r>
    </w:p>
    <w:p w14:paraId="3AB64FC9" w14:textId="15A2384A" w:rsidR="00B8080A" w:rsidRDefault="00EF4D59" w:rsidP="00B8080A">
      <w:r>
        <w:t xml:space="preserve">Uma forma de realizar </w:t>
      </w:r>
      <w:r w:rsidR="009850FC">
        <w:t>este</w:t>
      </w:r>
      <w:r>
        <w:t xml:space="preserve"> </w:t>
      </w:r>
      <w:r w:rsidR="00B8080A">
        <w:t>estudo</w:t>
      </w:r>
      <w:r w:rsidR="00F97685">
        <w:t xml:space="preserve"> da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6226D03C" w:rsidR="008F4158" w:rsidRPr="00AE35CB" w:rsidRDefault="008F4158" w:rsidP="00B8080A">
      <w:r>
        <w:lastRenderedPageBreak/>
        <w:t>Como alvo de análise propomos</w:t>
      </w:r>
      <w:r w:rsidR="00F97685">
        <w:t xml:space="preserve"> analisar pela ciência complementar</w:t>
      </w:r>
      <w:r>
        <w:t xml:space="preserve"> 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w:t>
      </w:r>
      <w:proofErr w:type="spellStart"/>
      <w:r w:rsidR="00062C6E" w:rsidRPr="00062C6E">
        <w:rPr>
          <w:rFonts w:cs="Arial"/>
          <w:kern w:val="0"/>
        </w:rPr>
        <w:t>Tricco</w:t>
      </w:r>
      <w:proofErr w:type="spellEnd"/>
      <w:r w:rsidR="00062C6E" w:rsidRPr="00062C6E">
        <w:rPr>
          <w:rFonts w:cs="Arial"/>
          <w:kern w:val="0"/>
        </w:rPr>
        <w:t xml:space="preserve">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11"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lastRenderedPageBreak/>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7586F54B"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Na última etapa, os estudos restantes foram divididos entre aqueles que são de aplicação do BackPEI o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 xml:space="preserve">A classificação entre estudos de aplicação e </w:t>
      </w:r>
      <w:r w:rsidR="00E914C2">
        <w:lastRenderedPageBreak/>
        <w:t>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w:t>
      </w:r>
      <w:proofErr w:type="spellStart"/>
      <w:r w:rsidR="00347DDC" w:rsidRPr="00347DDC">
        <w:rPr>
          <w:rFonts w:cs="Arial"/>
        </w:rPr>
        <w:t>Bradburn</w:t>
      </w:r>
      <w:proofErr w:type="spellEnd"/>
      <w:r w:rsidR="00347DDC" w:rsidRPr="00347DDC">
        <w:rPr>
          <w:rFonts w:cs="Arial"/>
        </w:rPr>
        <w:t>;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w:t>
      </w:r>
      <w:r w:rsidR="004C32AB">
        <w:lastRenderedPageBreak/>
        <w:t>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2" w:name="_Ref197634849"/>
      <w:r w:rsidRPr="00FB04A0">
        <w:t>Figura</w:t>
      </w:r>
      <w:r>
        <w:t xml:space="preserve"> </w:t>
      </w:r>
      <w:r>
        <w:fldChar w:fldCharType="begin"/>
      </w:r>
      <w:r>
        <w:instrText xml:space="preserve"> SEQ Figura \* ARABIC </w:instrText>
      </w:r>
      <w:r>
        <w:fldChar w:fldCharType="separate"/>
      </w:r>
      <w:r>
        <w:rPr>
          <w:noProof/>
        </w:rPr>
        <w:t>1</w:t>
      </w:r>
      <w:r>
        <w:rPr>
          <w:noProof/>
        </w:rPr>
        <w:fldChar w:fldCharType="end"/>
      </w:r>
      <w:bookmarkEnd w:id="2"/>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w:t>
      </w:r>
      <w:r w:rsidR="004D5209">
        <w:lastRenderedPageBreak/>
        <w:t xml:space="preserve">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5F41ACD6" w14:textId="33D81F5B" w:rsidR="00C630DC" w:rsidRDefault="00950D33" w:rsidP="00685C2E">
      <w:pPr>
        <w:sectPr w:rsidR="00C630DC" w:rsidSect="00040147">
          <w:footerReference w:type="default" r:id="rId13"/>
          <w:pgSz w:w="11906" w:h="16838"/>
          <w:pgMar w:top="1701" w:right="1134" w:bottom="1134" w:left="1701" w:header="708" w:footer="708" w:gutter="0"/>
          <w:cols w:space="708"/>
          <w:docGrid w:linePitch="360"/>
        </w:sectPr>
      </w:pPr>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r w:rsidR="003E55C8">
        <w:t xml:space="preserve"> </w:t>
      </w:r>
    </w:p>
    <w:tbl>
      <w:tblPr>
        <w:tblW w:w="15309" w:type="dxa"/>
        <w:tblCellMar>
          <w:left w:w="70" w:type="dxa"/>
          <w:right w:w="70" w:type="dxa"/>
        </w:tblCellMar>
        <w:tblLook w:val="04A0" w:firstRow="1" w:lastRow="0" w:firstColumn="1" w:lastColumn="0" w:noHBand="0" w:noVBand="1"/>
      </w:tblPr>
      <w:tblGrid>
        <w:gridCol w:w="1661"/>
        <w:gridCol w:w="4549"/>
        <w:gridCol w:w="4549"/>
        <w:gridCol w:w="4550"/>
      </w:tblGrid>
      <w:tr w:rsidR="00C630DC" w:rsidRPr="00C41819" w14:paraId="0058DDE5" w14:textId="77777777" w:rsidTr="00BE0591">
        <w:trPr>
          <w:trHeight w:val="300"/>
        </w:trPr>
        <w:tc>
          <w:tcPr>
            <w:tcW w:w="1661" w:type="dxa"/>
            <w:tcBorders>
              <w:top w:val="single" w:sz="12" w:space="0" w:color="auto"/>
              <w:left w:val="nil"/>
              <w:bottom w:val="single" w:sz="4" w:space="0" w:color="auto"/>
              <w:right w:val="nil"/>
            </w:tcBorders>
            <w:shd w:val="clear" w:color="auto" w:fill="auto"/>
            <w:vAlign w:val="center"/>
            <w:hideMark/>
          </w:tcPr>
          <w:p w14:paraId="322B45AE" w14:textId="77777777" w:rsidR="00C630DC" w:rsidRPr="00C41819" w:rsidRDefault="00C630DC" w:rsidP="00BE0591">
            <w:pPr>
              <w:spacing w:line="240" w:lineRule="auto"/>
              <w:ind w:firstLine="0"/>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4549" w:type="dxa"/>
            <w:tcBorders>
              <w:top w:val="single" w:sz="12" w:space="0" w:color="auto"/>
              <w:left w:val="nil"/>
              <w:bottom w:val="single" w:sz="4" w:space="0" w:color="auto"/>
              <w:right w:val="nil"/>
            </w:tcBorders>
            <w:shd w:val="clear" w:color="auto" w:fill="auto"/>
            <w:vAlign w:val="center"/>
            <w:hideMark/>
          </w:tcPr>
          <w:p w14:paraId="411CF9A1"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549"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550"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4549"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549"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BE0591">
        <w:trPr>
          <w:trHeight w:val="600"/>
        </w:trPr>
        <w:tc>
          <w:tcPr>
            <w:tcW w:w="1661" w:type="dxa"/>
            <w:vMerge/>
            <w:tcBorders>
              <w:top w:val="nil"/>
              <w:left w:val="nil"/>
              <w:bottom w:val="nil"/>
              <w:right w:val="nil"/>
            </w:tcBorders>
            <w:vAlign w:val="center"/>
            <w:hideMark/>
          </w:tcPr>
          <w:p w14:paraId="424D702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FD58FE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proofErr w:type="spellStart"/>
            <w:r w:rsidRPr="00C41819">
              <w:rPr>
                <w:rFonts w:eastAsia="Times New Roman" w:cs="Arial"/>
                <w:color w:val="000000"/>
                <w:kern w:val="0"/>
                <w:sz w:val="20"/>
                <w:szCs w:val="20"/>
                <w:lang w:eastAsia="pt-BR"/>
                <w14:ligatures w14:val="none"/>
              </w:rPr>
              <w:t>postuais</w:t>
            </w:r>
            <w:proofErr w:type="spellEnd"/>
            <w:r w:rsidRPr="00C41819">
              <w:rPr>
                <w:rFonts w:eastAsia="Times New Roman" w:cs="Arial"/>
                <w:color w:val="000000"/>
                <w:kern w:val="0"/>
                <w:sz w:val="20"/>
                <w:szCs w:val="20"/>
                <w:lang w:eastAsia="pt-BR"/>
                <w14:ligatures w14:val="none"/>
              </w:rPr>
              <w:t xml:space="preserve"> mais comuns e seu modo de execução</w:t>
            </w:r>
          </w:p>
        </w:tc>
        <w:tc>
          <w:tcPr>
            <w:tcW w:w="4549" w:type="dxa"/>
            <w:tcBorders>
              <w:top w:val="nil"/>
              <w:left w:val="nil"/>
              <w:bottom w:val="nil"/>
              <w:right w:val="nil"/>
            </w:tcBorders>
            <w:shd w:val="clear" w:color="auto" w:fill="auto"/>
            <w:vAlign w:val="center"/>
            <w:hideMark/>
          </w:tcPr>
          <w:p w14:paraId="2EFE0F5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639F83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BE0591">
        <w:trPr>
          <w:trHeight w:val="600"/>
        </w:trPr>
        <w:tc>
          <w:tcPr>
            <w:tcW w:w="1661" w:type="dxa"/>
            <w:vMerge/>
            <w:tcBorders>
              <w:top w:val="nil"/>
              <w:left w:val="nil"/>
              <w:bottom w:val="nil"/>
              <w:right w:val="nil"/>
            </w:tcBorders>
            <w:vAlign w:val="center"/>
            <w:hideMark/>
          </w:tcPr>
          <w:p w14:paraId="62C4AA0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DBB26E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549" w:type="dxa"/>
            <w:tcBorders>
              <w:top w:val="nil"/>
              <w:left w:val="nil"/>
              <w:bottom w:val="nil"/>
              <w:right w:val="nil"/>
            </w:tcBorders>
            <w:shd w:val="clear" w:color="auto" w:fill="auto"/>
            <w:vAlign w:val="center"/>
            <w:hideMark/>
          </w:tcPr>
          <w:p w14:paraId="7FD068B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794F58C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BE0591">
        <w:trPr>
          <w:trHeight w:val="1200"/>
        </w:trPr>
        <w:tc>
          <w:tcPr>
            <w:tcW w:w="1661" w:type="dxa"/>
            <w:vMerge/>
            <w:tcBorders>
              <w:top w:val="nil"/>
              <w:left w:val="nil"/>
              <w:bottom w:val="nil"/>
              <w:right w:val="nil"/>
            </w:tcBorders>
            <w:vAlign w:val="center"/>
            <w:hideMark/>
          </w:tcPr>
          <w:p w14:paraId="26DD57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4607B3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464A8E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8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550" w:type="dxa"/>
            <w:tcBorders>
              <w:top w:val="nil"/>
              <w:left w:val="nil"/>
              <w:bottom w:val="nil"/>
              <w:right w:val="nil"/>
            </w:tcBorders>
            <w:shd w:val="clear" w:color="auto" w:fill="auto"/>
            <w:vAlign w:val="center"/>
            <w:hideMark/>
          </w:tcPr>
          <w:p w14:paraId="34AF91C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BE0591">
        <w:trPr>
          <w:trHeight w:val="600"/>
        </w:trPr>
        <w:tc>
          <w:tcPr>
            <w:tcW w:w="1661" w:type="dxa"/>
            <w:vMerge/>
            <w:tcBorders>
              <w:top w:val="nil"/>
              <w:left w:val="nil"/>
              <w:bottom w:val="nil"/>
              <w:right w:val="nil"/>
            </w:tcBorders>
            <w:vAlign w:val="center"/>
            <w:hideMark/>
          </w:tcPr>
          <w:p w14:paraId="04E76174"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B9246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549" w:type="dxa"/>
            <w:tcBorders>
              <w:top w:val="nil"/>
              <w:left w:val="nil"/>
              <w:bottom w:val="nil"/>
              <w:right w:val="nil"/>
            </w:tcBorders>
            <w:shd w:val="clear" w:color="auto" w:fill="auto"/>
            <w:vAlign w:val="center"/>
            <w:hideMark/>
          </w:tcPr>
          <w:p w14:paraId="75A3BE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550" w:type="dxa"/>
            <w:tcBorders>
              <w:top w:val="nil"/>
              <w:left w:val="nil"/>
              <w:bottom w:val="nil"/>
              <w:right w:val="nil"/>
            </w:tcBorders>
            <w:shd w:val="clear" w:color="auto" w:fill="auto"/>
            <w:vAlign w:val="center"/>
            <w:hideMark/>
          </w:tcPr>
          <w:p w14:paraId="25C2A4C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BE0591">
        <w:trPr>
          <w:trHeight w:val="900"/>
        </w:trPr>
        <w:tc>
          <w:tcPr>
            <w:tcW w:w="1661" w:type="dxa"/>
            <w:vMerge/>
            <w:tcBorders>
              <w:top w:val="nil"/>
              <w:left w:val="nil"/>
              <w:bottom w:val="nil"/>
              <w:right w:val="nil"/>
            </w:tcBorders>
            <w:vAlign w:val="center"/>
            <w:hideMark/>
          </w:tcPr>
          <w:p w14:paraId="5C63F24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152B35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549" w:type="dxa"/>
            <w:tcBorders>
              <w:top w:val="nil"/>
              <w:left w:val="nil"/>
              <w:bottom w:val="nil"/>
              <w:right w:val="nil"/>
            </w:tcBorders>
            <w:shd w:val="clear" w:color="auto" w:fill="auto"/>
            <w:vAlign w:val="center"/>
            <w:hideMark/>
          </w:tcPr>
          <w:p w14:paraId="5CB5C0E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ponderado (≥0,5), CCI e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(p&gt;0,05).</w:t>
            </w:r>
          </w:p>
        </w:tc>
        <w:tc>
          <w:tcPr>
            <w:tcW w:w="4550" w:type="dxa"/>
            <w:tcBorders>
              <w:top w:val="nil"/>
              <w:left w:val="nil"/>
              <w:bottom w:val="nil"/>
              <w:right w:val="nil"/>
            </w:tcBorders>
            <w:shd w:val="clear" w:color="auto" w:fill="auto"/>
            <w:vAlign w:val="center"/>
            <w:hideMark/>
          </w:tcPr>
          <w:p w14:paraId="43B64AA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obteve CCI=0,937 com diferença não-significativa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(p=0,251). .</w:t>
            </w:r>
          </w:p>
        </w:tc>
      </w:tr>
      <w:tr w:rsidR="00C630DC" w:rsidRPr="00C41819" w14:paraId="4187A7B1" w14:textId="77777777" w:rsidTr="00BE0591">
        <w:trPr>
          <w:trHeight w:val="600"/>
        </w:trPr>
        <w:tc>
          <w:tcPr>
            <w:tcW w:w="1661" w:type="dxa"/>
            <w:vMerge/>
            <w:tcBorders>
              <w:top w:val="nil"/>
              <w:left w:val="nil"/>
              <w:bottom w:val="single" w:sz="4" w:space="0" w:color="auto"/>
              <w:right w:val="nil"/>
            </w:tcBorders>
            <w:vAlign w:val="center"/>
            <w:hideMark/>
          </w:tcPr>
          <w:p w14:paraId="79D696D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BE0591">
        <w:trPr>
          <w:trHeight w:val="1200"/>
        </w:trPr>
        <w:tc>
          <w:tcPr>
            <w:tcW w:w="1661"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4549"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Concordância e associação entre os resultados do BackPEI e </w:t>
            </w:r>
            <w:proofErr w:type="spellStart"/>
            <w:r w:rsidRPr="00C41819">
              <w:rPr>
                <w:rFonts w:eastAsia="Times New Roman" w:cs="Arial"/>
                <w:color w:val="000000"/>
                <w:kern w:val="0"/>
                <w:sz w:val="20"/>
                <w:szCs w:val="20"/>
                <w:lang w:eastAsia="pt-BR"/>
                <w14:ligatures w14:val="none"/>
              </w:rPr>
              <w:t>LADy</w:t>
            </w:r>
            <w:proofErr w:type="spellEnd"/>
          </w:p>
        </w:tc>
        <w:tc>
          <w:tcPr>
            <w:tcW w:w="4549"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Os hábitos posturais de 58 estudantes foram medidos através do </w:t>
            </w:r>
            <w:proofErr w:type="spellStart"/>
            <w:r w:rsidRPr="00C41819">
              <w:rPr>
                <w:rFonts w:eastAsia="Times New Roman" w:cs="Arial"/>
                <w:color w:val="000000"/>
                <w:kern w:val="0"/>
                <w:sz w:val="20"/>
                <w:szCs w:val="20"/>
                <w:lang w:eastAsia="pt-BR"/>
                <w14:ligatures w14:val="none"/>
              </w:rPr>
              <w:t>LADy</w:t>
            </w:r>
            <w:proofErr w:type="spellEnd"/>
            <w:r w:rsidRPr="00C41819">
              <w:rPr>
                <w:rFonts w:eastAsia="Times New Roman" w:cs="Arial"/>
                <w:color w:val="000000"/>
                <w:kern w:val="0"/>
                <w:sz w:val="20"/>
                <w:szCs w:val="20"/>
                <w:lang w:eastAsia="pt-BR"/>
                <w14:ligatures w14:val="none"/>
              </w:rPr>
              <w:t xml:space="preserve"> e do BackPEI a concordância foi avaliada através do κ, %C (&gt;80%) e χ² (p&lt;0,05)</w:t>
            </w:r>
          </w:p>
        </w:tc>
        <w:tc>
          <w:tcPr>
            <w:tcW w:w="4550"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w:t>
            </w:r>
            <w:proofErr w:type="gramStart"/>
            <w:r w:rsidRPr="00C41819">
              <w:rPr>
                <w:rFonts w:eastAsia="Times New Roman" w:cs="Arial"/>
                <w:color w:val="000000"/>
                <w:kern w:val="0"/>
                <w:sz w:val="20"/>
                <w:szCs w:val="20"/>
                <w:lang w:eastAsia="pt-BR"/>
                <w14:ligatures w14:val="none"/>
              </w:rPr>
              <w:t>0,905 ;χ</w:t>
            </w:r>
            <w:proofErr w:type="gramEnd"/>
            <w:r w:rsidRPr="00C41819">
              <w:rPr>
                <w:rFonts w:eastAsia="Times New Roman" w:cs="Arial"/>
                <w:color w:val="000000"/>
                <w:kern w:val="0"/>
                <w:sz w:val="20"/>
                <w:szCs w:val="20"/>
                <w:lang w:eastAsia="pt-BR"/>
                <w14:ligatures w14:val="none"/>
              </w:rPr>
              <w:t>²=47,15 , p=0,001), pegar objeto do chão  (%C 98,3%; κ=0,962 ;χ²=53,78 , p=0,001), sentar para escrever (%C 93,1%; κ=0,737 ;χ²=31,51 , p=0,001) e usar o computador (%C 84,5%; κ=0,483 ;χ²=14,757 , p=0,01).</w:t>
            </w:r>
          </w:p>
        </w:tc>
      </w:tr>
      <w:tr w:rsidR="00C630DC" w:rsidRPr="00C41819" w14:paraId="1761DD50" w14:textId="77777777" w:rsidTr="00BE0591">
        <w:trPr>
          <w:trHeight w:val="900"/>
        </w:trPr>
        <w:tc>
          <w:tcPr>
            <w:tcW w:w="1661"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Pivotto</w:t>
            </w:r>
            <w:proofErr w:type="spellEnd"/>
            <w:r w:rsidRPr="00C41819">
              <w:rPr>
                <w:rFonts w:eastAsia="Times New Roman" w:cs="Arial"/>
                <w:color w:val="000000"/>
                <w:kern w:val="0"/>
                <w:sz w:val="20"/>
                <w:szCs w:val="20"/>
                <w:lang w:eastAsia="pt-BR"/>
                <w14:ligatures w14:val="none"/>
              </w:rPr>
              <w:t xml:space="preserve"> et al. (2018)</w:t>
            </w:r>
          </w:p>
        </w:tc>
        <w:tc>
          <w:tcPr>
            <w:tcW w:w="4549"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549"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BE0591">
        <w:trPr>
          <w:trHeight w:val="900"/>
        </w:trPr>
        <w:tc>
          <w:tcPr>
            <w:tcW w:w="1661" w:type="dxa"/>
            <w:vMerge w:val="restart"/>
            <w:tcBorders>
              <w:top w:val="single" w:sz="4" w:space="0" w:color="auto"/>
              <w:left w:val="nil"/>
              <w:right w:val="nil"/>
            </w:tcBorders>
            <w:shd w:val="clear" w:color="auto" w:fill="auto"/>
            <w:vAlign w:val="center"/>
            <w:hideMark/>
          </w:tcPr>
          <w:p w14:paraId="2074028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(2018)</w:t>
            </w:r>
          </w:p>
        </w:tc>
        <w:tc>
          <w:tcPr>
            <w:tcW w:w="4549"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549"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BE0591">
        <w:trPr>
          <w:trHeight w:val="1200"/>
        </w:trPr>
        <w:tc>
          <w:tcPr>
            <w:tcW w:w="1661" w:type="dxa"/>
            <w:vMerge/>
            <w:tcBorders>
              <w:top w:val="nil"/>
              <w:left w:val="nil"/>
              <w:right w:val="nil"/>
            </w:tcBorders>
            <w:vAlign w:val="center"/>
            <w:hideMark/>
          </w:tcPr>
          <w:p w14:paraId="29B6BA0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20A657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43E393C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no pescoço e fatores associados; a clareza, facilidade de compreensão e aplicabilidade. </w:t>
            </w:r>
          </w:p>
        </w:tc>
        <w:tc>
          <w:tcPr>
            <w:tcW w:w="4550" w:type="dxa"/>
            <w:tcBorders>
              <w:top w:val="nil"/>
              <w:left w:val="nil"/>
              <w:bottom w:val="nil"/>
              <w:right w:val="nil"/>
            </w:tcBorders>
            <w:shd w:val="clear" w:color="auto" w:fill="auto"/>
            <w:vAlign w:val="center"/>
            <w:hideMark/>
          </w:tcPr>
          <w:p w14:paraId="0CA8CAF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BE0591">
        <w:trPr>
          <w:trHeight w:val="600"/>
        </w:trPr>
        <w:tc>
          <w:tcPr>
            <w:tcW w:w="1661" w:type="dxa"/>
            <w:vMerge/>
            <w:tcBorders>
              <w:top w:val="nil"/>
              <w:left w:val="nil"/>
              <w:right w:val="nil"/>
            </w:tcBorders>
            <w:vAlign w:val="center"/>
            <w:hideMark/>
          </w:tcPr>
          <w:p w14:paraId="373257D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161780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549" w:type="dxa"/>
            <w:tcBorders>
              <w:top w:val="nil"/>
              <w:left w:val="nil"/>
              <w:bottom w:val="nil"/>
              <w:right w:val="nil"/>
            </w:tcBorders>
            <w:shd w:val="clear" w:color="auto" w:fill="auto"/>
            <w:vAlign w:val="center"/>
            <w:hideMark/>
          </w:tcPr>
          <w:p w14:paraId="3345731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550" w:type="dxa"/>
            <w:tcBorders>
              <w:top w:val="nil"/>
              <w:left w:val="nil"/>
              <w:bottom w:val="nil"/>
              <w:right w:val="nil"/>
            </w:tcBorders>
            <w:shd w:val="clear" w:color="auto" w:fill="auto"/>
            <w:vAlign w:val="center"/>
            <w:hideMark/>
          </w:tcPr>
          <w:p w14:paraId="0A5DF49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BE0591">
        <w:trPr>
          <w:trHeight w:val="600"/>
        </w:trPr>
        <w:tc>
          <w:tcPr>
            <w:tcW w:w="1661" w:type="dxa"/>
            <w:vMerge/>
            <w:tcBorders>
              <w:top w:val="nil"/>
              <w:left w:val="nil"/>
              <w:right w:val="nil"/>
            </w:tcBorders>
            <w:vAlign w:val="center"/>
            <w:hideMark/>
          </w:tcPr>
          <w:p w14:paraId="37BEC03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BE20D8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nil"/>
              <w:right w:val="nil"/>
            </w:tcBorders>
            <w:shd w:val="clear" w:color="auto" w:fill="auto"/>
            <w:vAlign w:val="center"/>
            <w:hideMark/>
          </w:tcPr>
          <w:p w14:paraId="1A2CAE7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nil"/>
              <w:right w:val="nil"/>
            </w:tcBorders>
            <w:shd w:val="clear" w:color="auto" w:fill="auto"/>
            <w:vAlign w:val="center"/>
            <w:hideMark/>
          </w:tcPr>
          <w:p w14:paraId="3F2D98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BE0591">
        <w:trPr>
          <w:trHeight w:val="900"/>
        </w:trPr>
        <w:tc>
          <w:tcPr>
            <w:tcW w:w="1661" w:type="dxa"/>
            <w:vMerge/>
            <w:tcBorders>
              <w:top w:val="nil"/>
              <w:left w:val="nil"/>
              <w:right w:val="nil"/>
            </w:tcBorders>
            <w:vAlign w:val="center"/>
            <w:hideMark/>
          </w:tcPr>
          <w:p w14:paraId="7FAF07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549"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BE0591">
        <w:trPr>
          <w:trHeight w:val="600"/>
        </w:trPr>
        <w:tc>
          <w:tcPr>
            <w:tcW w:w="1661" w:type="dxa"/>
            <w:vMerge w:val="restart"/>
            <w:tcBorders>
              <w:left w:val="nil"/>
              <w:right w:val="nil"/>
            </w:tcBorders>
            <w:shd w:val="clear" w:color="auto" w:fill="auto"/>
            <w:vAlign w:val="center"/>
            <w:hideMark/>
          </w:tcPr>
          <w:p w14:paraId="5DB1492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Gençbas</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Bebis</w:t>
            </w:r>
            <w:proofErr w:type="spellEnd"/>
            <w:r w:rsidRPr="00C41819">
              <w:rPr>
                <w:rFonts w:eastAsia="Times New Roman" w:cs="Arial"/>
                <w:color w:val="000000"/>
                <w:kern w:val="0"/>
                <w:sz w:val="20"/>
                <w:szCs w:val="20"/>
                <w:lang w:eastAsia="pt-BR"/>
                <w14:ligatures w14:val="none"/>
              </w:rPr>
              <w:t xml:space="preserve"> (2019)</w:t>
            </w:r>
          </w:p>
        </w:tc>
        <w:tc>
          <w:tcPr>
            <w:tcW w:w="4549"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549"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550"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BE0591">
        <w:trPr>
          <w:trHeight w:val="900"/>
        </w:trPr>
        <w:tc>
          <w:tcPr>
            <w:tcW w:w="1661" w:type="dxa"/>
            <w:vMerge/>
            <w:tcBorders>
              <w:top w:val="nil"/>
              <w:left w:val="nil"/>
              <w:right w:val="nil"/>
            </w:tcBorders>
            <w:vAlign w:val="center"/>
            <w:hideMark/>
          </w:tcPr>
          <w:p w14:paraId="31BF3C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06E9C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E6591CF"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550" w:type="dxa"/>
            <w:tcBorders>
              <w:top w:val="nil"/>
              <w:left w:val="nil"/>
              <w:bottom w:val="nil"/>
              <w:right w:val="nil"/>
            </w:tcBorders>
            <w:shd w:val="clear" w:color="auto" w:fill="auto"/>
            <w:vAlign w:val="center"/>
            <w:hideMark/>
          </w:tcPr>
          <w:p w14:paraId="1997B2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BE0591">
        <w:trPr>
          <w:trHeight w:val="600"/>
        </w:trPr>
        <w:tc>
          <w:tcPr>
            <w:tcW w:w="1661" w:type="dxa"/>
            <w:vMerge/>
            <w:tcBorders>
              <w:left w:val="nil"/>
              <w:right w:val="nil"/>
            </w:tcBorders>
            <w:vAlign w:val="center"/>
            <w:hideMark/>
          </w:tcPr>
          <w:p w14:paraId="0A818A9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6AF99A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549" w:type="dxa"/>
            <w:tcBorders>
              <w:top w:val="nil"/>
              <w:left w:val="nil"/>
              <w:bottom w:val="nil"/>
              <w:right w:val="nil"/>
            </w:tcBorders>
            <w:shd w:val="clear" w:color="auto" w:fill="auto"/>
            <w:vAlign w:val="center"/>
            <w:hideMark/>
          </w:tcPr>
          <w:p w14:paraId="39A675BC"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O </w:t>
            </w:r>
            <w:proofErr w:type="spellStart"/>
            <w:r w:rsidRPr="00C41819">
              <w:rPr>
                <w:rFonts w:eastAsia="Times New Roman" w:cs="Arial"/>
                <w:kern w:val="0"/>
                <w:sz w:val="20"/>
                <w:szCs w:val="20"/>
                <w:lang w:eastAsia="pt-BR"/>
                <w14:ligatures w14:val="none"/>
              </w:rPr>
              <w:t>questinário</w:t>
            </w:r>
            <w:proofErr w:type="spellEnd"/>
            <w:r w:rsidRPr="00C41819">
              <w:rPr>
                <w:rFonts w:eastAsia="Times New Roman" w:cs="Arial"/>
                <w:kern w:val="0"/>
                <w:sz w:val="20"/>
                <w:szCs w:val="20"/>
                <w:lang w:eastAsia="pt-BR"/>
                <w14:ligatures w14:val="none"/>
              </w:rPr>
              <w:t xml:space="preserve"> foi retraduzido para o inglês para verificar se houve alteração do significado</w:t>
            </w:r>
          </w:p>
        </w:tc>
        <w:tc>
          <w:tcPr>
            <w:tcW w:w="4550" w:type="dxa"/>
            <w:tcBorders>
              <w:top w:val="nil"/>
              <w:left w:val="nil"/>
              <w:bottom w:val="nil"/>
              <w:right w:val="nil"/>
            </w:tcBorders>
            <w:shd w:val="clear" w:color="auto" w:fill="auto"/>
            <w:vAlign w:val="center"/>
            <w:hideMark/>
          </w:tcPr>
          <w:p w14:paraId="41FF6D8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BE0591">
        <w:trPr>
          <w:trHeight w:val="600"/>
        </w:trPr>
        <w:tc>
          <w:tcPr>
            <w:tcW w:w="1661" w:type="dxa"/>
            <w:vMerge w:val="restart"/>
            <w:tcBorders>
              <w:left w:val="nil"/>
              <w:bottom w:val="single" w:sz="4" w:space="0" w:color="auto"/>
              <w:right w:val="nil"/>
            </w:tcBorders>
            <w:vAlign w:val="center"/>
            <w:hideMark/>
          </w:tcPr>
          <w:p w14:paraId="7E4607B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right w:val="nil"/>
            </w:tcBorders>
            <w:shd w:val="clear" w:color="auto" w:fill="auto"/>
            <w:vAlign w:val="center"/>
            <w:hideMark/>
          </w:tcPr>
          <w:p w14:paraId="5FA4120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549" w:type="dxa"/>
            <w:tcBorders>
              <w:top w:val="nil"/>
              <w:left w:val="nil"/>
              <w:right w:val="nil"/>
            </w:tcBorders>
            <w:shd w:val="clear" w:color="auto" w:fill="auto"/>
            <w:vAlign w:val="center"/>
            <w:hideMark/>
          </w:tcPr>
          <w:p w14:paraId="3453DF0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550" w:type="dxa"/>
            <w:tcBorders>
              <w:top w:val="nil"/>
              <w:left w:val="nil"/>
              <w:right w:val="nil"/>
            </w:tcBorders>
            <w:shd w:val="clear" w:color="auto" w:fill="auto"/>
            <w:vAlign w:val="center"/>
            <w:hideMark/>
          </w:tcPr>
          <w:p w14:paraId="109FA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BE0591">
        <w:trPr>
          <w:trHeight w:val="600"/>
        </w:trPr>
        <w:tc>
          <w:tcPr>
            <w:tcW w:w="1661" w:type="dxa"/>
            <w:vMerge/>
            <w:tcBorders>
              <w:top w:val="nil"/>
              <w:left w:val="nil"/>
              <w:bottom w:val="single" w:sz="4" w:space="0" w:color="auto"/>
              <w:right w:val="nil"/>
            </w:tcBorders>
            <w:vAlign w:val="center"/>
            <w:hideMark/>
          </w:tcPr>
          <w:p w14:paraId="0E16342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DB64D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nil"/>
              <w:right w:val="nil"/>
            </w:tcBorders>
            <w:shd w:val="clear" w:color="auto" w:fill="auto"/>
            <w:vAlign w:val="center"/>
            <w:hideMark/>
          </w:tcPr>
          <w:p w14:paraId="6FB8F13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550" w:type="dxa"/>
            <w:tcBorders>
              <w:top w:val="nil"/>
              <w:left w:val="nil"/>
              <w:bottom w:val="nil"/>
              <w:right w:val="nil"/>
            </w:tcBorders>
            <w:shd w:val="clear" w:color="auto" w:fill="auto"/>
            <w:vAlign w:val="center"/>
            <w:hideMark/>
          </w:tcPr>
          <w:p w14:paraId="250B762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BE0591">
        <w:trPr>
          <w:trHeight w:val="900"/>
        </w:trPr>
        <w:tc>
          <w:tcPr>
            <w:tcW w:w="1661" w:type="dxa"/>
            <w:vMerge/>
            <w:tcBorders>
              <w:top w:val="nil"/>
              <w:left w:val="nil"/>
              <w:bottom w:val="single" w:sz="4" w:space="0" w:color="auto"/>
              <w:right w:val="nil"/>
            </w:tcBorders>
            <w:vAlign w:val="center"/>
            <w:hideMark/>
          </w:tcPr>
          <w:p w14:paraId="660F922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7E66441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549" w:type="dxa"/>
            <w:tcBorders>
              <w:top w:val="nil"/>
              <w:left w:val="nil"/>
              <w:bottom w:val="nil"/>
              <w:right w:val="nil"/>
            </w:tcBorders>
            <w:shd w:val="clear" w:color="auto" w:fill="auto"/>
            <w:vAlign w:val="center"/>
            <w:hideMark/>
          </w:tcPr>
          <w:p w14:paraId="3450395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550" w:type="dxa"/>
            <w:tcBorders>
              <w:top w:val="nil"/>
              <w:left w:val="nil"/>
              <w:bottom w:val="nil"/>
              <w:right w:val="nil"/>
            </w:tcBorders>
            <w:shd w:val="clear" w:color="auto" w:fill="auto"/>
            <w:vAlign w:val="center"/>
            <w:hideMark/>
          </w:tcPr>
          <w:p w14:paraId="04B3D38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BE0591">
        <w:trPr>
          <w:trHeight w:val="600"/>
        </w:trPr>
        <w:tc>
          <w:tcPr>
            <w:tcW w:w="1661" w:type="dxa"/>
            <w:vMerge/>
            <w:tcBorders>
              <w:top w:val="nil"/>
              <w:left w:val="nil"/>
              <w:bottom w:val="single" w:sz="4" w:space="0" w:color="auto"/>
              <w:right w:val="nil"/>
            </w:tcBorders>
            <w:vAlign w:val="center"/>
            <w:hideMark/>
          </w:tcPr>
          <w:p w14:paraId="48635FB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549"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 xml:space="preserve">A avaliação ocorreu através do κ e testes dos postos de sinal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κ entre 0,500 e 0,880. Sem diferença para a intensidade da dor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67E9AB4F"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Akbari-Chehrehbargh</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Tavafian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Montazeri</w:t>
            </w:r>
            <w:proofErr w:type="spellEnd"/>
            <w:r w:rsidRPr="00C41819">
              <w:rPr>
                <w:rFonts w:eastAsia="Times New Roman" w:cs="Arial"/>
                <w:color w:val="000000"/>
                <w:kern w:val="0"/>
                <w:sz w:val="20"/>
                <w:szCs w:val="20"/>
                <w:lang w:eastAsia="pt-BR"/>
                <w14:ligatures w14:val="none"/>
              </w:rPr>
              <w:t xml:space="preserve"> (2020)</w:t>
            </w:r>
          </w:p>
        </w:tc>
        <w:tc>
          <w:tcPr>
            <w:tcW w:w="4549"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549"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BE0591">
        <w:trPr>
          <w:trHeight w:val="600"/>
        </w:trPr>
        <w:tc>
          <w:tcPr>
            <w:tcW w:w="1661" w:type="dxa"/>
            <w:vMerge/>
            <w:tcBorders>
              <w:top w:val="nil"/>
              <w:left w:val="nil"/>
              <w:bottom w:val="nil"/>
              <w:right w:val="nil"/>
            </w:tcBorders>
            <w:vAlign w:val="center"/>
            <w:hideMark/>
          </w:tcPr>
          <w:p w14:paraId="0A5DD70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D0F25D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92CBF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550" w:type="dxa"/>
            <w:tcBorders>
              <w:top w:val="nil"/>
              <w:left w:val="nil"/>
              <w:bottom w:val="nil"/>
              <w:right w:val="nil"/>
            </w:tcBorders>
            <w:shd w:val="clear" w:color="auto" w:fill="auto"/>
            <w:vAlign w:val="center"/>
            <w:hideMark/>
          </w:tcPr>
          <w:p w14:paraId="24B36D9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BE0591">
        <w:trPr>
          <w:trHeight w:val="600"/>
        </w:trPr>
        <w:tc>
          <w:tcPr>
            <w:tcW w:w="1661" w:type="dxa"/>
            <w:vMerge/>
            <w:tcBorders>
              <w:top w:val="nil"/>
              <w:left w:val="nil"/>
              <w:bottom w:val="nil"/>
              <w:right w:val="nil"/>
            </w:tcBorders>
            <w:vAlign w:val="center"/>
            <w:hideMark/>
          </w:tcPr>
          <w:p w14:paraId="3C5C926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6697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549" w:type="dxa"/>
            <w:tcBorders>
              <w:top w:val="nil"/>
              <w:left w:val="nil"/>
              <w:bottom w:val="nil"/>
              <w:right w:val="nil"/>
            </w:tcBorders>
            <w:shd w:val="clear" w:color="auto" w:fill="auto"/>
            <w:vAlign w:val="center"/>
            <w:hideMark/>
          </w:tcPr>
          <w:p w14:paraId="57CD560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550" w:type="dxa"/>
            <w:tcBorders>
              <w:top w:val="nil"/>
              <w:left w:val="nil"/>
              <w:bottom w:val="nil"/>
              <w:right w:val="nil"/>
            </w:tcBorders>
            <w:shd w:val="clear" w:color="auto" w:fill="auto"/>
            <w:vAlign w:val="center"/>
            <w:hideMark/>
          </w:tcPr>
          <w:p w14:paraId="7B6A7DF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BE0591">
        <w:trPr>
          <w:trHeight w:val="1200"/>
        </w:trPr>
        <w:tc>
          <w:tcPr>
            <w:tcW w:w="1661" w:type="dxa"/>
            <w:vMerge/>
            <w:tcBorders>
              <w:top w:val="nil"/>
              <w:left w:val="nil"/>
              <w:bottom w:val="nil"/>
              <w:right w:val="nil"/>
            </w:tcBorders>
            <w:vAlign w:val="center"/>
            <w:hideMark/>
          </w:tcPr>
          <w:p w14:paraId="591C2D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8FEF3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549" w:type="dxa"/>
            <w:tcBorders>
              <w:top w:val="nil"/>
              <w:left w:val="nil"/>
              <w:bottom w:val="nil"/>
              <w:right w:val="nil"/>
            </w:tcBorders>
            <w:shd w:val="clear" w:color="auto" w:fill="auto"/>
            <w:vAlign w:val="center"/>
            <w:hideMark/>
          </w:tcPr>
          <w:p w14:paraId="57DA71C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 xml:space="preserve"> (&lt;5), CFI, RMSEA (&lt;0,10), SRMR (&lt;0,08) e correlação item-total</w:t>
            </w:r>
          </w:p>
        </w:tc>
        <w:tc>
          <w:tcPr>
            <w:tcW w:w="4550" w:type="dxa"/>
            <w:tcBorders>
              <w:top w:val="nil"/>
              <w:left w:val="nil"/>
              <w:bottom w:val="nil"/>
              <w:right w:val="nil"/>
            </w:tcBorders>
            <w:shd w:val="clear" w:color="auto" w:fill="auto"/>
            <w:vAlign w:val="center"/>
            <w:hideMark/>
          </w:tcPr>
          <w:p w14:paraId="724CD0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=3,51; ICA=0,97; RMSEA=0,091; SRMR=0,078; correlação item-</w:t>
            </w:r>
            <w:proofErr w:type="gramStart"/>
            <w:r w:rsidRPr="00C41819">
              <w:rPr>
                <w:rFonts w:eastAsia="Times New Roman" w:cs="Arial"/>
                <w:color w:val="000000"/>
                <w:kern w:val="0"/>
                <w:sz w:val="20"/>
                <w:szCs w:val="20"/>
                <w:lang w:eastAsia="pt-BR"/>
                <w14:ligatures w14:val="none"/>
              </w:rPr>
              <w:t>total  satisfatória</w:t>
            </w:r>
            <w:proofErr w:type="gramEnd"/>
            <w:r w:rsidRPr="00C41819">
              <w:rPr>
                <w:rFonts w:eastAsia="Times New Roman" w:cs="Arial"/>
                <w:color w:val="000000"/>
                <w:kern w:val="0"/>
                <w:sz w:val="20"/>
                <w:szCs w:val="20"/>
                <w:lang w:eastAsia="pt-BR"/>
                <w14:ligatures w14:val="none"/>
              </w:rPr>
              <w:t>;</w:t>
            </w:r>
          </w:p>
        </w:tc>
      </w:tr>
      <w:tr w:rsidR="00C630DC" w:rsidRPr="00C41819" w14:paraId="15DE934A" w14:textId="77777777" w:rsidTr="00BE0591">
        <w:trPr>
          <w:trHeight w:val="600"/>
        </w:trPr>
        <w:tc>
          <w:tcPr>
            <w:tcW w:w="1661" w:type="dxa"/>
            <w:vMerge/>
            <w:tcBorders>
              <w:top w:val="nil"/>
              <w:left w:val="nil"/>
              <w:bottom w:val="nil"/>
              <w:right w:val="nil"/>
            </w:tcBorders>
            <w:vAlign w:val="center"/>
            <w:hideMark/>
          </w:tcPr>
          <w:p w14:paraId="5BE7CD5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6BE4C7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549" w:type="dxa"/>
            <w:tcBorders>
              <w:top w:val="nil"/>
              <w:left w:val="nil"/>
              <w:bottom w:val="nil"/>
              <w:right w:val="nil"/>
            </w:tcBorders>
            <w:shd w:val="clear" w:color="auto" w:fill="auto"/>
            <w:vAlign w:val="center"/>
            <w:hideMark/>
          </w:tcPr>
          <w:p w14:paraId="2D8754D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550" w:type="dxa"/>
            <w:tcBorders>
              <w:top w:val="nil"/>
              <w:left w:val="nil"/>
              <w:bottom w:val="nil"/>
              <w:right w:val="nil"/>
            </w:tcBorders>
            <w:shd w:val="clear" w:color="auto" w:fill="auto"/>
            <w:vAlign w:val="center"/>
            <w:hideMark/>
          </w:tcPr>
          <w:p w14:paraId="3BCF2C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BE0591">
        <w:trPr>
          <w:trHeight w:val="900"/>
        </w:trPr>
        <w:tc>
          <w:tcPr>
            <w:tcW w:w="1661" w:type="dxa"/>
            <w:vMerge/>
            <w:tcBorders>
              <w:top w:val="nil"/>
              <w:left w:val="nil"/>
              <w:bottom w:val="single" w:sz="4" w:space="0" w:color="auto"/>
              <w:right w:val="nil"/>
            </w:tcBorders>
            <w:vAlign w:val="center"/>
            <w:hideMark/>
          </w:tcPr>
          <w:p w14:paraId="16C548A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550"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w:t>
            </w:r>
            <w:proofErr w:type="gramStart"/>
            <w:r w:rsidRPr="00C41819">
              <w:rPr>
                <w:rFonts w:eastAsia="Times New Roman" w:cs="Arial"/>
                <w:color w:val="000000"/>
                <w:kern w:val="0"/>
                <w:sz w:val="20"/>
                <w:szCs w:val="20"/>
                <w:lang w:eastAsia="pt-BR"/>
                <w14:ligatures w14:val="none"/>
              </w:rPr>
              <w:t>83,  EPM</w:t>
            </w:r>
            <w:proofErr w:type="gramEnd"/>
            <w:r w:rsidRPr="00C41819">
              <w:rPr>
                <w:rFonts w:eastAsia="Times New Roman" w:cs="Arial"/>
                <w:color w:val="000000"/>
                <w:kern w:val="0"/>
                <w:sz w:val="20"/>
                <w:szCs w:val="20"/>
                <w:lang w:eastAsia="pt-BR"/>
                <w14:ligatures w14:val="none"/>
              </w:rPr>
              <w:t xml:space="preserve"> entre 0,72 e 7,08 e MMD entre 1,99 e 19,62</w:t>
            </w:r>
          </w:p>
        </w:tc>
      </w:tr>
      <w:tr w:rsidR="00C630DC" w:rsidRPr="00C41819" w14:paraId="11AF7674" w14:textId="77777777" w:rsidTr="00BE0591">
        <w:trPr>
          <w:trHeight w:val="1500"/>
        </w:trPr>
        <w:tc>
          <w:tcPr>
            <w:tcW w:w="1661"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Miñana-Signes</w:t>
            </w:r>
            <w:proofErr w:type="spellEnd"/>
            <w:r w:rsidRPr="00C41819">
              <w:rPr>
                <w:rFonts w:eastAsia="Times New Roman" w:cs="Arial"/>
                <w:color w:val="000000"/>
                <w:kern w:val="0"/>
                <w:sz w:val="20"/>
                <w:szCs w:val="20"/>
                <w:lang w:eastAsia="pt-BR"/>
                <w14:ligatures w14:val="none"/>
              </w:rPr>
              <w:t xml:space="preserve"> et al. (2021)</w:t>
            </w:r>
          </w:p>
        </w:tc>
        <w:tc>
          <w:tcPr>
            <w:tcW w:w="4549"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549"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550" w:type="dxa"/>
            <w:tcBorders>
              <w:top w:val="single" w:sz="4" w:space="0" w:color="auto"/>
              <w:left w:val="nil"/>
              <w:bottom w:val="nil"/>
              <w:right w:val="nil"/>
            </w:tcBorders>
            <w:shd w:val="clear" w:color="auto" w:fill="auto"/>
            <w:vAlign w:val="center"/>
            <w:hideMark/>
          </w:tcPr>
          <w:p w14:paraId="078B9A6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Nenhuma intervenção foi feita. Questionário </w:t>
            </w:r>
            <w:proofErr w:type="gramStart"/>
            <w:r w:rsidRPr="00C41819">
              <w:rPr>
                <w:rFonts w:eastAsia="Times New Roman" w:cs="Arial"/>
                <w:color w:val="000000"/>
                <w:kern w:val="0"/>
                <w:sz w:val="20"/>
                <w:szCs w:val="20"/>
                <w:lang w:eastAsia="pt-BR"/>
                <w14:ligatures w14:val="none"/>
              </w:rPr>
              <w:t>retraduzido  para</w:t>
            </w:r>
            <w:proofErr w:type="gramEnd"/>
            <w:r w:rsidRPr="00C41819">
              <w:rPr>
                <w:rFonts w:eastAsia="Times New Roman" w:cs="Arial"/>
                <w:color w:val="000000"/>
                <w:kern w:val="0"/>
                <w:sz w:val="20"/>
                <w:szCs w:val="20"/>
                <w:lang w:eastAsia="pt-BR"/>
                <w14:ligatures w14:val="none"/>
              </w:rPr>
              <w:t xml:space="preserve"> o português era idêntico ao original em português.</w:t>
            </w:r>
          </w:p>
        </w:tc>
      </w:tr>
      <w:tr w:rsidR="00C630DC" w:rsidRPr="00C41819" w14:paraId="6088C131" w14:textId="77777777" w:rsidTr="00BE0591">
        <w:trPr>
          <w:trHeight w:val="1200"/>
        </w:trPr>
        <w:tc>
          <w:tcPr>
            <w:tcW w:w="1661" w:type="dxa"/>
            <w:vMerge/>
            <w:tcBorders>
              <w:top w:val="nil"/>
              <w:left w:val="nil"/>
              <w:bottom w:val="nil"/>
              <w:right w:val="nil"/>
            </w:tcBorders>
            <w:vAlign w:val="center"/>
            <w:hideMark/>
          </w:tcPr>
          <w:p w14:paraId="135FFE7C"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4B2935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549" w:type="dxa"/>
            <w:tcBorders>
              <w:top w:val="nil"/>
              <w:left w:val="nil"/>
              <w:bottom w:val="nil"/>
              <w:right w:val="nil"/>
            </w:tcBorders>
            <w:shd w:val="clear" w:color="auto" w:fill="auto"/>
            <w:vAlign w:val="center"/>
            <w:hideMark/>
          </w:tcPr>
          <w:p w14:paraId="31CA74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550" w:type="dxa"/>
            <w:tcBorders>
              <w:top w:val="nil"/>
              <w:left w:val="nil"/>
              <w:bottom w:val="nil"/>
              <w:right w:val="nil"/>
            </w:tcBorders>
            <w:shd w:val="clear" w:color="auto" w:fill="auto"/>
            <w:vAlign w:val="center"/>
            <w:hideMark/>
          </w:tcPr>
          <w:p w14:paraId="3ED3DB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BE0591">
        <w:trPr>
          <w:trHeight w:val="900"/>
        </w:trPr>
        <w:tc>
          <w:tcPr>
            <w:tcW w:w="1661" w:type="dxa"/>
            <w:vMerge/>
            <w:tcBorders>
              <w:top w:val="nil"/>
              <w:left w:val="nil"/>
              <w:bottom w:val="single" w:sz="4" w:space="0" w:color="auto"/>
              <w:right w:val="nil"/>
            </w:tcBorders>
            <w:vAlign w:val="center"/>
            <w:hideMark/>
          </w:tcPr>
          <w:p w14:paraId="79686BB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224 indivíduos com intervalo de 7 dias. A avaliação ocorreu através do ICC (≥0,75),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e κ com %C (κ≥0,5 ou %C≥75%).</w:t>
            </w:r>
          </w:p>
        </w:tc>
        <w:tc>
          <w:tcPr>
            <w:tcW w:w="4550"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2 itens com κ&lt;0,5 e 4 itens com %C&lt;75%, nenhum inferior em ambos. A intensidade da dor obteve ICC=0,928, sem diferença significativa segundo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34111CCD" w14:textId="77777777" w:rsidTr="00BE0591">
        <w:trPr>
          <w:trHeight w:val="1200"/>
        </w:trPr>
        <w:tc>
          <w:tcPr>
            <w:tcW w:w="1661"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Rosa et al. (2022)</w:t>
            </w:r>
          </w:p>
        </w:tc>
        <w:tc>
          <w:tcPr>
            <w:tcW w:w="4549"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549"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preliminar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6D66D1F2" w14:textId="77777777" w:rsidTr="00BE0591">
        <w:trPr>
          <w:trHeight w:val="1800"/>
        </w:trPr>
        <w:tc>
          <w:tcPr>
            <w:tcW w:w="1661" w:type="dxa"/>
            <w:vMerge/>
            <w:tcBorders>
              <w:top w:val="nil"/>
              <w:left w:val="nil"/>
              <w:bottom w:val="nil"/>
              <w:right w:val="nil"/>
            </w:tcBorders>
            <w:vAlign w:val="center"/>
            <w:hideMark/>
          </w:tcPr>
          <w:p w14:paraId="0F8ABDD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8A2958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04E8E5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550" w:type="dxa"/>
            <w:tcBorders>
              <w:top w:val="nil"/>
              <w:left w:val="nil"/>
              <w:bottom w:val="nil"/>
              <w:right w:val="nil"/>
            </w:tcBorders>
            <w:shd w:val="clear" w:color="auto" w:fill="auto"/>
            <w:vAlign w:val="center"/>
            <w:hideMark/>
          </w:tcPr>
          <w:p w14:paraId="10B791F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o ICV variou de 0,9 a 1,0. Elaboração da versão final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1F8B1D1B" w14:textId="77777777" w:rsidTr="00BE0591">
        <w:trPr>
          <w:trHeight w:val="1200"/>
        </w:trPr>
        <w:tc>
          <w:tcPr>
            <w:tcW w:w="1661" w:type="dxa"/>
            <w:vMerge/>
            <w:tcBorders>
              <w:top w:val="nil"/>
              <w:left w:val="nil"/>
              <w:bottom w:val="nil"/>
              <w:right w:val="nil"/>
            </w:tcBorders>
            <w:vAlign w:val="center"/>
            <w:hideMark/>
          </w:tcPr>
          <w:p w14:paraId="1C91135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A0F11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549" w:type="dxa"/>
            <w:tcBorders>
              <w:top w:val="nil"/>
              <w:left w:val="nil"/>
              <w:bottom w:val="nil"/>
              <w:right w:val="nil"/>
            </w:tcBorders>
            <w:shd w:val="clear" w:color="auto" w:fill="auto"/>
            <w:vAlign w:val="center"/>
            <w:hideMark/>
          </w:tcPr>
          <w:p w14:paraId="2D4CCC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105 indivíduos com intervalo de 7 dias no formato presencial e virtual. A avaliação ocorreu através do %C (&gt;50%), κ (≥0,4) e </w:t>
            </w:r>
            <w:proofErr w:type="gramStart"/>
            <w:r w:rsidRPr="00C41819">
              <w:rPr>
                <w:rFonts w:eastAsia="Times New Roman" w:cs="Arial"/>
                <w:color w:val="000000"/>
                <w:kern w:val="0"/>
                <w:sz w:val="20"/>
                <w:szCs w:val="20"/>
                <w:lang w:eastAsia="pt-BR"/>
                <w14:ligatures w14:val="none"/>
              </w:rPr>
              <w:t>CCI(</w:t>
            </w:r>
            <w:proofErr w:type="gramEnd"/>
            <w:r w:rsidRPr="00C41819">
              <w:rPr>
                <w:rFonts w:eastAsia="Times New Roman" w:cs="Arial"/>
                <w:color w:val="000000"/>
                <w:kern w:val="0"/>
                <w:sz w:val="20"/>
                <w:szCs w:val="20"/>
                <w:lang w:eastAsia="pt-BR"/>
                <w14:ligatures w14:val="none"/>
              </w:rPr>
              <w:t xml:space="preserve">2-way </w:t>
            </w:r>
            <w:proofErr w:type="spellStart"/>
            <w:r w:rsidRPr="00C41819">
              <w:rPr>
                <w:rFonts w:eastAsia="Times New Roman" w:cs="Arial"/>
                <w:color w:val="000000"/>
                <w:kern w:val="0"/>
                <w:sz w:val="20"/>
                <w:szCs w:val="20"/>
                <w:lang w:eastAsia="pt-BR"/>
                <w14:ligatures w14:val="none"/>
              </w:rPr>
              <w:t>mixed</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agrement</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nil"/>
              <w:right w:val="nil"/>
            </w:tcBorders>
            <w:shd w:val="clear" w:color="auto" w:fill="auto"/>
            <w:vAlign w:val="center"/>
            <w:hideMark/>
          </w:tcPr>
          <w:p w14:paraId="7651147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BE0591">
        <w:trPr>
          <w:trHeight w:val="300"/>
        </w:trPr>
        <w:tc>
          <w:tcPr>
            <w:tcW w:w="1661" w:type="dxa"/>
            <w:vMerge/>
            <w:tcBorders>
              <w:top w:val="nil"/>
              <w:left w:val="nil"/>
              <w:bottom w:val="single" w:sz="4" w:space="0" w:color="auto"/>
              <w:right w:val="nil"/>
            </w:tcBorders>
            <w:vAlign w:val="center"/>
            <w:hideMark/>
          </w:tcPr>
          <w:p w14:paraId="36E862A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37D7898E"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4549"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549"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BE0591">
        <w:trPr>
          <w:trHeight w:val="1500"/>
        </w:trPr>
        <w:tc>
          <w:tcPr>
            <w:tcW w:w="1661" w:type="dxa"/>
            <w:vMerge/>
            <w:tcBorders>
              <w:top w:val="nil"/>
              <w:left w:val="nil"/>
              <w:bottom w:val="nil"/>
              <w:right w:val="nil"/>
            </w:tcBorders>
            <w:vAlign w:val="center"/>
            <w:hideMark/>
          </w:tcPr>
          <w:p w14:paraId="62C4EE3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7F3A7D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1979F6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550" w:type="dxa"/>
            <w:tcBorders>
              <w:top w:val="nil"/>
              <w:left w:val="nil"/>
              <w:bottom w:val="nil"/>
              <w:right w:val="nil"/>
            </w:tcBorders>
            <w:shd w:val="clear" w:color="auto" w:fill="auto"/>
            <w:vAlign w:val="center"/>
            <w:hideMark/>
          </w:tcPr>
          <w:p w14:paraId="76E278D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BE0591">
        <w:trPr>
          <w:trHeight w:val="1200"/>
        </w:trPr>
        <w:tc>
          <w:tcPr>
            <w:tcW w:w="1661" w:type="dxa"/>
            <w:vMerge/>
            <w:tcBorders>
              <w:top w:val="nil"/>
              <w:left w:val="nil"/>
              <w:bottom w:val="nil"/>
              <w:right w:val="nil"/>
            </w:tcBorders>
            <w:vAlign w:val="center"/>
            <w:hideMark/>
          </w:tcPr>
          <w:p w14:paraId="1B7E824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F5808D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549" w:type="dxa"/>
            <w:tcBorders>
              <w:top w:val="nil"/>
              <w:left w:val="nil"/>
              <w:bottom w:val="nil"/>
              <w:right w:val="nil"/>
            </w:tcBorders>
            <w:shd w:val="clear" w:color="auto" w:fill="auto"/>
            <w:vAlign w:val="center"/>
            <w:hideMark/>
          </w:tcPr>
          <w:p w14:paraId="4F5761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550" w:type="dxa"/>
            <w:tcBorders>
              <w:top w:val="nil"/>
              <w:left w:val="nil"/>
              <w:bottom w:val="nil"/>
              <w:right w:val="nil"/>
            </w:tcBorders>
            <w:shd w:val="clear" w:color="auto" w:fill="auto"/>
            <w:vAlign w:val="center"/>
            <w:hideMark/>
          </w:tcPr>
          <w:p w14:paraId="663A52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BE0591">
        <w:trPr>
          <w:trHeight w:val="300"/>
        </w:trPr>
        <w:tc>
          <w:tcPr>
            <w:tcW w:w="1661" w:type="dxa"/>
            <w:vMerge/>
            <w:tcBorders>
              <w:top w:val="nil"/>
              <w:left w:val="nil"/>
              <w:bottom w:val="single" w:sz="4" w:space="0" w:color="auto"/>
              <w:right w:val="nil"/>
            </w:tcBorders>
            <w:vAlign w:val="center"/>
            <w:hideMark/>
          </w:tcPr>
          <w:p w14:paraId="3719B0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Gökşen</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Kocaman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Yildirim</w:t>
            </w:r>
            <w:proofErr w:type="spellEnd"/>
            <w:r w:rsidRPr="00C41819">
              <w:rPr>
                <w:rFonts w:eastAsia="Times New Roman" w:cs="Arial"/>
                <w:color w:val="000000"/>
                <w:kern w:val="0"/>
                <w:sz w:val="20"/>
                <w:szCs w:val="20"/>
                <w:lang w:eastAsia="pt-BR"/>
                <w14:ligatures w14:val="none"/>
              </w:rPr>
              <w:t xml:space="preserve"> (2023)</w:t>
            </w:r>
          </w:p>
        </w:tc>
        <w:tc>
          <w:tcPr>
            <w:tcW w:w="4549"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(Consistência interna - a parte do </w:t>
            </w:r>
            <w:proofErr w:type="spellStart"/>
            <w:r w:rsidRPr="00C41819">
              <w:rPr>
                <w:rFonts w:eastAsia="Times New Roman" w:cs="Arial"/>
                <w:color w:val="000000"/>
                <w:kern w:val="0"/>
                <w:sz w:val="20"/>
                <w:szCs w:val="20"/>
                <w:lang w:eastAsia="pt-BR"/>
                <w14:ligatures w14:val="none"/>
              </w:rPr>
              <w:t>kappa</w:t>
            </w:r>
            <w:proofErr w:type="spellEnd"/>
            <w:r w:rsidRPr="00C41819">
              <w:rPr>
                <w:rFonts w:eastAsia="Times New Roman" w:cs="Arial"/>
                <w:color w:val="000000"/>
                <w:kern w:val="0"/>
                <w:sz w:val="20"/>
                <w:szCs w:val="20"/>
                <w:lang w:eastAsia="pt-BR"/>
                <w14:ligatures w14:val="none"/>
              </w:rPr>
              <w:t xml:space="preserve"> e %C)</w:t>
            </w:r>
          </w:p>
        </w:tc>
        <w:tc>
          <w:tcPr>
            <w:tcW w:w="4549"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235 indivíduos com intervalo de 7 dias. A avaliação ocorreu através do κ (≥0,5), %C, EP, CCI (2-way </w:t>
            </w:r>
            <w:proofErr w:type="spellStart"/>
            <w:r w:rsidRPr="00C41819">
              <w:rPr>
                <w:rFonts w:eastAsia="Times New Roman" w:cs="Arial"/>
                <w:color w:val="000000"/>
                <w:kern w:val="0"/>
                <w:sz w:val="20"/>
                <w:szCs w:val="20"/>
                <w:lang w:eastAsia="pt-BR"/>
                <w14:ligatures w14:val="none"/>
              </w:rPr>
              <w:t>random</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agreement</w:t>
            </w:r>
            <w:proofErr w:type="spellEnd"/>
            <w:r w:rsidRPr="00C41819">
              <w:rPr>
                <w:rFonts w:eastAsia="Times New Roman" w:cs="Arial"/>
                <w:color w:val="000000"/>
                <w:kern w:val="0"/>
                <w:sz w:val="20"/>
                <w:szCs w:val="20"/>
                <w:lang w:eastAsia="pt-BR"/>
                <w14:ligatures w14:val="none"/>
              </w:rPr>
              <w:t>), r, teste dos postos de sinais de Wilcoxon.0,5), %C e SE</w:t>
            </w:r>
          </w:p>
        </w:tc>
        <w:tc>
          <w:tcPr>
            <w:tcW w:w="4550"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%C e EP variaram respectivamente de 74,5% a 100% e 0,000 a 0,138. A intensidade da dor nas costas apresentou CCI=0,716. A intensidade de dor no pescoço apresentou CCI=0,944. A pontuação total do BackPEI apresentou CCI=0,800, r=0,809 e diferença 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(p=0,009).</w:t>
            </w:r>
          </w:p>
        </w:tc>
      </w:tr>
      <w:tr w:rsidR="00C630DC" w:rsidRPr="00C41819" w14:paraId="06FAC66C" w14:textId="77777777" w:rsidTr="00BE0591">
        <w:trPr>
          <w:trHeight w:val="600"/>
        </w:trPr>
        <w:tc>
          <w:tcPr>
            <w:tcW w:w="1661"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2D3AE7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549" w:type="dxa"/>
            <w:tcBorders>
              <w:top w:val="nil"/>
              <w:left w:val="nil"/>
              <w:bottom w:val="nil"/>
              <w:right w:val="nil"/>
            </w:tcBorders>
            <w:shd w:val="clear" w:color="auto" w:fill="auto"/>
            <w:vAlign w:val="center"/>
            <w:hideMark/>
          </w:tcPr>
          <w:p w14:paraId="7DD83C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550" w:type="dxa"/>
            <w:tcBorders>
              <w:top w:val="nil"/>
              <w:left w:val="nil"/>
              <w:bottom w:val="nil"/>
              <w:right w:val="nil"/>
            </w:tcBorders>
            <w:shd w:val="clear" w:color="auto" w:fill="auto"/>
            <w:vAlign w:val="center"/>
            <w:hideMark/>
          </w:tcPr>
          <w:p w14:paraId="6B8C78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BE0591">
        <w:trPr>
          <w:trHeight w:val="1500"/>
        </w:trPr>
        <w:tc>
          <w:tcPr>
            <w:tcW w:w="1661"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550"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741530">
            <w:pPr>
              <w:keepNext/>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C630DC">
          <w:pgSz w:w="16838" w:h="11906" w:orient="landscape"/>
          <w:pgMar w:top="720" w:right="720" w:bottom="720" w:left="720" w:header="708" w:footer="708" w:gutter="0"/>
          <w:cols w:space="708"/>
          <w:docGrid w:linePitch="360"/>
        </w:sectPr>
      </w:pPr>
      <w:bookmarkStart w:id="3" w:name="_Ref198035055"/>
      <w:bookmarkStart w:id="4" w:name="_Ref198035051"/>
      <w:r>
        <w:t xml:space="preserve">Tabela </w:t>
      </w:r>
      <w:r>
        <w:fldChar w:fldCharType="begin"/>
      </w:r>
      <w:r>
        <w:instrText xml:space="preserve"> SEQ Tabela \* ARABIC </w:instrText>
      </w:r>
      <w:r>
        <w:fldChar w:fldCharType="separate"/>
      </w:r>
      <w:r>
        <w:rPr>
          <w:noProof/>
        </w:rPr>
        <w:t>1</w:t>
      </w:r>
      <w:r>
        <w:fldChar w:fldCharType="end"/>
      </w:r>
      <w:bookmarkEnd w:id="3"/>
      <w:r>
        <w:t xml:space="preserve"> – </w:t>
      </w:r>
      <w:r w:rsidRPr="007C0164">
        <w:t>Fontes</w:t>
      </w:r>
      <w:r>
        <w:t xml:space="preserve"> incluídas na revisão</w:t>
      </w:r>
      <w:bookmarkEnd w:id="4"/>
    </w:p>
    <w:p w14:paraId="1468BA3E" w14:textId="5EE6387A" w:rsidR="004D5209" w:rsidRDefault="004D5209" w:rsidP="00685C2E"/>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0472724F" w14:textId="77777777" w:rsidR="003261A1" w:rsidRDefault="003261A1" w:rsidP="003261A1">
      <w:pPr>
        <w:pStyle w:val="Legenda"/>
      </w:pPr>
      <w:bookmarkStart w:id="5" w:name="_Ref197634909"/>
      <w:bookmarkStart w:id="6" w:name="_Ref197941347"/>
      <w:r>
        <w:t xml:space="preserve">Figura </w:t>
      </w:r>
      <w:r>
        <w:fldChar w:fldCharType="begin"/>
      </w:r>
      <w:r>
        <w:instrText xml:space="preserve"> SEQ Figura \* ARABIC </w:instrText>
      </w:r>
      <w:r>
        <w:fldChar w:fldCharType="separate"/>
      </w:r>
      <w:r>
        <w:rPr>
          <w:noProof/>
        </w:rPr>
        <w:t>2</w:t>
      </w:r>
      <w:r>
        <w:rPr>
          <w:noProof/>
        </w:rPr>
        <w:fldChar w:fldCharType="end"/>
      </w:r>
      <w:bookmarkEnd w:id="5"/>
      <w:r>
        <w:t xml:space="preserve"> - </w:t>
      </w:r>
      <w:r w:rsidRPr="00EE7692">
        <w:t>Linha do tempo do BackPEI.</w:t>
      </w:r>
      <w:bookmarkEnd w:id="6"/>
    </w:p>
    <w:p w14:paraId="3C06DBA3" w14:textId="77777777" w:rsidR="000366F3" w:rsidRDefault="00B604AE" w:rsidP="003261A1">
      <w:pPr>
        <w:keepNext/>
        <w:ind w:firstLine="0"/>
      </w:pPr>
      <w:r>
        <w:rPr>
          <w:noProof/>
        </w:rPr>
        <w:lastRenderedPageBreak/>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103F1AC1" w14:textId="77777777" w:rsidR="00CB4C14" w:rsidRDefault="00CB4C14" w:rsidP="00CB4C1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w:t>
      </w:r>
      <w:r>
        <w:lastRenderedPageBreak/>
        <w:t xml:space="preserve">contato com os autores solicitando o questionário utilizado na pesquisa e fizemos uma busca não padronizada para encontra-lo, entretanto não obtivemos retorno dos autores e nem encontramos o questionário.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7777777"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Gençbaş; Bebiş, 2019; Gökşen; Kocaman; Yıldırım, 2023; Miñana-Signes </w:t>
      </w:r>
      <w:r w:rsidRPr="00CB4C14">
        <w:rPr>
          <w:rFonts w:cs="Arial"/>
          <w:i/>
          <w:iCs/>
          <w:kern w:val="0"/>
        </w:rPr>
        <w:t>et al.</w:t>
      </w:r>
      <w:r w:rsidRPr="00CB4C14">
        <w:rPr>
          <w:rFonts w:cs="Arial"/>
          <w:kern w:val="0"/>
        </w:rPr>
        <w:t xml:space="preserve">, 2021; Noll </w:t>
      </w:r>
      <w:r w:rsidRPr="00CB4C14">
        <w:rPr>
          <w:rFonts w:cs="Arial"/>
          <w:i/>
          <w:iCs/>
          <w:kern w:val="0"/>
        </w:rPr>
        <w:t>et al.</w:t>
      </w:r>
      <w:r w:rsidRPr="00CB4C14">
        <w:rPr>
          <w:rFonts w:cs="Arial"/>
          <w:kern w:val="0"/>
        </w:rPr>
        <w:t>, 2013a)</w:t>
      </w:r>
      <w:r>
        <w:fldChar w:fldCharType="end"/>
      </w:r>
      <w:r>
        <w:t xml:space="preserve"> e validade de conteúdo </w:t>
      </w:r>
      <w:r>
        <w:fldChar w:fldCharType="begin"/>
      </w:r>
      <w:r w:rsidR="008078BE">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validade de conteúdo aplicada no BackPEI difere da aplicada ao BABAQ, pois parece </w:t>
      </w:r>
      <w:r>
        <w:lastRenderedPageBreak/>
        <w:t>estar mais voltada para aspectos operacionais do questionário como o uso de fotografias e a redação dos itens.</w:t>
      </w:r>
    </w:p>
    <w:p w14:paraId="770DDDDE" w14:textId="39675E28"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entre as aplicações e outras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(CCI)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w:t>
      </w:r>
      <w:proofErr w:type="spellStart"/>
      <w:r w:rsidR="001D60F5" w:rsidRPr="001D60F5">
        <w:rPr>
          <w:rFonts w:cs="Arial"/>
          <w:kern w:val="0"/>
        </w:rPr>
        <w:t>Akbari-Chehrehbargh</w:t>
      </w:r>
      <w:proofErr w:type="spellEnd"/>
      <w:r w:rsidR="001D60F5" w:rsidRPr="001D60F5">
        <w:rPr>
          <w:rFonts w:cs="Arial"/>
          <w:kern w:val="0"/>
        </w:rPr>
        <w:t xml:space="preserve">; </w:t>
      </w:r>
      <w:proofErr w:type="spellStart"/>
      <w:r w:rsidR="001D60F5" w:rsidRPr="001D60F5">
        <w:rPr>
          <w:rFonts w:cs="Arial"/>
          <w:kern w:val="0"/>
        </w:rPr>
        <w:t>Tavafian</w:t>
      </w:r>
      <w:proofErr w:type="spellEnd"/>
      <w:r w:rsidR="001D60F5" w:rsidRPr="001D60F5">
        <w:rPr>
          <w:rFonts w:cs="Arial"/>
          <w:kern w:val="0"/>
        </w:rPr>
        <w:t xml:space="preserve">;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CCI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(Candotti </w:t>
      </w:r>
      <w:r w:rsidR="00822559" w:rsidRPr="00822559">
        <w:rPr>
          <w:rFonts w:cs="Arial"/>
          <w:i/>
          <w:iCs/>
          <w:kern w:val="0"/>
        </w:rPr>
        <w:t>et al.</w:t>
      </w:r>
      <w:r w:rsidR="00822559" w:rsidRPr="00822559">
        <w:rPr>
          <w:rFonts w:cs="Arial"/>
          <w:kern w:val="0"/>
        </w:rPr>
        <w:t xml:space="preserve">, 2018, 2023; Da Rosa </w:t>
      </w:r>
      <w:r w:rsidR="00822559" w:rsidRPr="00822559">
        <w:rPr>
          <w:rFonts w:cs="Arial"/>
          <w:i/>
          <w:iCs/>
          <w:kern w:val="0"/>
        </w:rPr>
        <w:t>et al.</w:t>
      </w:r>
      <w:r w:rsidR="00822559" w:rsidRPr="00822559">
        <w:rPr>
          <w:rFonts w:cs="Arial"/>
          <w:kern w:val="0"/>
        </w:rPr>
        <w:t xml:space="preserve">, 2022; Gençbaş; Bebiş, 2019; Miñana-Signes </w:t>
      </w:r>
      <w:r w:rsidR="00822559" w:rsidRPr="00822559">
        <w:rPr>
          <w:rFonts w:cs="Arial"/>
          <w:i/>
          <w:iCs/>
          <w:kern w:val="0"/>
        </w:rPr>
        <w:t>et al.</w:t>
      </w:r>
      <w:r w:rsidR="00822559" w:rsidRPr="00822559">
        <w:rPr>
          <w:rFonts w:cs="Arial"/>
          <w:kern w:val="0"/>
        </w:rPr>
        <w:t xml:space="preserve">, 2021; Noll </w:t>
      </w:r>
      <w:r w:rsidR="00822559" w:rsidRPr="00822559">
        <w:rPr>
          <w:rFonts w:cs="Arial"/>
          <w:i/>
          <w:iCs/>
          <w:kern w:val="0"/>
        </w:rPr>
        <w:t>et al.</w:t>
      </w:r>
      <w:r w:rsidR="00822559" w:rsidRPr="00822559">
        <w:rPr>
          <w:rFonts w:cs="Arial"/>
          <w:kern w:val="0"/>
        </w:rPr>
        <w:t>, 2013a)</w:t>
      </w:r>
      <w:r w:rsidR="00822559">
        <w:fldChar w:fldCharType="end"/>
      </w:r>
      <w:r w:rsidR="00822559">
        <w:t>. 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xml:space="preserve">, </w:t>
      </w:r>
      <w:r w:rsidR="00F270EA" w:rsidRPr="00BA2D72">
        <w:rPr>
          <w:rFonts w:cs="Arial"/>
          <w:kern w:val="0"/>
        </w:rPr>
        <w:lastRenderedPageBreak/>
        <w:t>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7777777" w:rsidR="00CF043C" w:rsidRPr="00CF043C" w:rsidRDefault="00CF043C" w:rsidP="00CF043C">
      <w:r w:rsidRPr="00CF043C">
        <w:t xml:space="preserve">Os fatores de riscos quem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comportamental,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xml:space="preserve">,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w:t>
      </w:r>
      <w:r w:rsidRPr="00CF043C">
        <w:lastRenderedPageBreak/>
        <w:t>representação. Parecem, portanto, serem aspectos menos relevantes do sistema de medição assim como massa corporal, estatura e profissão.</w:t>
      </w:r>
    </w:p>
    <w:p w14:paraId="712560CC" w14:textId="77777777" w:rsidR="00CF043C" w:rsidRPr="00CF043C" w:rsidRDefault="00CF043C" w:rsidP="00CF043C">
      <w:r w:rsidRPr="00CF043C">
        <w:t xml:space="preserve">Nenhum dos artigos apresenta uma caracterização de dor e seus elementos, sendo esse conceito implícito. Quanto à região da dor, a definição é implícita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explícita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0CF58C79" w14:textId="7C11D077"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w:t>
      </w:r>
      <w:r w:rsidR="00CF043C">
        <w:rPr>
          <w:rFonts w:cs="Arial"/>
          <w:kern w:val="0"/>
        </w:rPr>
        <w:lastRenderedPageBreak/>
        <w:t xml:space="preserve">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w:t>
      </w:r>
      <w:r>
        <w:lastRenderedPageBreak/>
        <w:t xml:space="preserve">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7" w:name="_Ref197680962"/>
      <w:r>
        <w:t xml:space="preserve">Figura </w:t>
      </w:r>
      <w:r>
        <w:fldChar w:fldCharType="begin"/>
      </w:r>
      <w:r>
        <w:instrText xml:space="preserve"> SEQ Figura \* ARABIC </w:instrText>
      </w:r>
      <w:r>
        <w:fldChar w:fldCharType="separate"/>
      </w:r>
      <w:r w:rsidR="00577186">
        <w:rPr>
          <w:noProof/>
        </w:rPr>
        <w:t>3</w:t>
      </w:r>
      <w:r>
        <w:fldChar w:fldCharType="end"/>
      </w:r>
      <w:bookmarkEnd w:id="7"/>
      <w:r>
        <w:t xml:space="preserve"> - Exemplo de item com frequências como alternativa</w:t>
      </w:r>
    </w:p>
    <w:p w14:paraId="426AB172" w14:textId="479A5979"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lastRenderedPageBreak/>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Default="00650D4D" w:rsidP="00303144">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650D4D">
        <w:rPr>
          <w:rFonts w:cs="Arial"/>
          <w:kern w:val="0"/>
        </w:rPr>
        <w:t xml:space="preserve">(Candotti </w:t>
      </w:r>
      <w:r w:rsidR="00303144" w:rsidRPr="00650D4D">
        <w:rPr>
          <w:rFonts w:cs="Arial"/>
          <w:i/>
          <w:iCs/>
          <w:kern w:val="0"/>
        </w:rPr>
        <w:t>et al.</w:t>
      </w:r>
      <w:r w:rsidR="00303144" w:rsidRPr="00650D4D">
        <w:rPr>
          <w:rFonts w:cs="Arial"/>
          <w:kern w:val="0"/>
        </w:rPr>
        <w:t xml:space="preserve">, 2018, 2023; Da Rosa </w:t>
      </w:r>
      <w:r w:rsidR="00303144" w:rsidRPr="00650D4D">
        <w:rPr>
          <w:rFonts w:cs="Arial"/>
          <w:i/>
          <w:iCs/>
          <w:kern w:val="0"/>
        </w:rPr>
        <w:t>et al.</w:t>
      </w:r>
      <w:r w:rsidR="00303144" w:rsidRPr="00650D4D">
        <w:rPr>
          <w:rFonts w:cs="Arial"/>
          <w:kern w:val="0"/>
        </w:rPr>
        <w:t xml:space="preserve">, 2022; Miñana-Signes </w:t>
      </w:r>
      <w:r w:rsidR="00303144" w:rsidRPr="00650D4D">
        <w:rPr>
          <w:rFonts w:cs="Arial"/>
          <w:i/>
          <w:iCs/>
          <w:kern w:val="0"/>
        </w:rPr>
        <w:t>et al.</w:t>
      </w:r>
      <w:r w:rsidR="00303144" w:rsidRPr="00650D4D">
        <w:rPr>
          <w:rFonts w:cs="Arial"/>
          <w:kern w:val="0"/>
        </w:rPr>
        <w:t xml:space="preserve">, 2021; Noll </w:t>
      </w:r>
      <w:r w:rsidR="00303144" w:rsidRPr="00650D4D">
        <w:rPr>
          <w:rFonts w:cs="Arial"/>
          <w:i/>
          <w:iCs/>
          <w:kern w:val="0"/>
        </w:rPr>
        <w:t>et al.</w:t>
      </w:r>
      <w:r w:rsidR="00303144" w:rsidRPr="00650D4D">
        <w:rPr>
          <w:rFonts w:cs="Arial"/>
          <w:kern w:val="0"/>
        </w:rPr>
        <w:t>, 2013a)</w:t>
      </w:r>
      <w:r w:rsidR="00303144">
        <w:fldChar w:fldCharType="end"/>
      </w:r>
      <w:r w:rsidR="00303144">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w:t>
      </w:r>
      <w:r>
        <w:lastRenderedPageBreak/>
        <w:t xml:space="preserve">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w:t>
      </w:r>
      <w:r w:rsidR="00D51B23">
        <w:lastRenderedPageBreak/>
        <w:t>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2018, 2023; Da Rosa </w:t>
      </w:r>
      <w:r w:rsidR="00385D01" w:rsidRPr="00385D01">
        <w:rPr>
          <w:rFonts w:cs="Arial"/>
          <w:i/>
          <w:iCs/>
          <w:kern w:val="0"/>
        </w:rPr>
        <w:t>et al.</w:t>
      </w:r>
      <w:r w:rsidR="00385D01" w:rsidRPr="00385D01">
        <w:rPr>
          <w:rFonts w:cs="Arial"/>
          <w:kern w:val="0"/>
        </w:rPr>
        <w:t xml:space="preserve">, 2022; Gençbaş; Bebiş, 2019; Miñana-Signes </w:t>
      </w:r>
      <w:r w:rsidR="00385D01" w:rsidRPr="00385D01">
        <w:rPr>
          <w:rFonts w:cs="Arial"/>
          <w:i/>
          <w:iCs/>
          <w:kern w:val="0"/>
        </w:rPr>
        <w:t>et al.</w:t>
      </w:r>
      <w:r w:rsidR="00385D01" w:rsidRPr="00385D01">
        <w:rPr>
          <w:rFonts w:cs="Arial"/>
          <w:kern w:val="0"/>
        </w:rPr>
        <w:t xml:space="preserve">, 2021; Noll </w:t>
      </w:r>
      <w:r w:rsidR="00385D01" w:rsidRPr="00385D01">
        <w:rPr>
          <w:rFonts w:cs="Arial"/>
          <w:i/>
          <w:iCs/>
          <w:kern w:val="0"/>
        </w:rPr>
        <w:t>et al.</w:t>
      </w:r>
      <w:r w:rsidR="00385D01" w:rsidRPr="00385D01">
        <w:rPr>
          <w:rFonts w:cs="Arial"/>
          <w:kern w:val="0"/>
        </w:rPr>
        <w:t>, 2013a)</w:t>
      </w:r>
      <w:r w:rsidR="00385D01">
        <w:fldChar w:fldCharType="end"/>
      </w:r>
      <w:r>
        <w:t>. 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lastRenderedPageBreak/>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8" w:name="_Ref197766710"/>
      <w:r>
        <w:t xml:space="preserve">Figura </w:t>
      </w:r>
      <w:r>
        <w:fldChar w:fldCharType="begin"/>
      </w:r>
      <w:r>
        <w:instrText xml:space="preserve"> SEQ Figura \* ARABIC </w:instrText>
      </w:r>
      <w:r>
        <w:fldChar w:fldCharType="separate"/>
      </w:r>
      <w:r w:rsidR="00577186">
        <w:rPr>
          <w:noProof/>
        </w:rPr>
        <w:t>4</w:t>
      </w:r>
      <w:r>
        <w:fldChar w:fldCharType="end"/>
      </w:r>
      <w:bookmarkEnd w:id="8"/>
      <w:r>
        <w:t xml:space="preserve"> - Escala Visual Analógica da intensidade da dor</w:t>
      </w:r>
    </w:p>
    <w:p w14:paraId="713C37E9" w14:textId="7573D076" w:rsidR="00624152" w:rsidRDefault="000A02BA" w:rsidP="002C6992">
      <w:r>
        <w:t xml:space="preserve">Dado que existem diferentes versões do BackPEI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7"/>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8"/>
                          <a:stretch>
                            <a:fillRect/>
                          </a:stretch>
                        </pic:blipFill>
                        <pic:spPr>
                          <a:xfrm>
                            <a:off x="0" y="2305958"/>
                            <a:ext cx="7116168" cy="1924319"/>
                          </a:xfrm>
                          <a:prstGeom prst="rect">
                            <a:avLst/>
                          </a:prstGeom>
                        </pic:spPr>
                      </pic:pic>
                    </wpg:wgp>
                  </a:graphicData>
                </a:graphic>
              </wp:inline>
            </w:drawing>
          </mc:Choice>
          <mc:Fallba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9" w:name="_Ref197768161"/>
      <w:r>
        <w:t xml:space="preserve">Figura </w:t>
      </w:r>
      <w:r>
        <w:fldChar w:fldCharType="begin"/>
      </w:r>
      <w:r>
        <w:instrText xml:space="preserve"> SEQ Figura \* ARABIC </w:instrText>
      </w:r>
      <w:r>
        <w:fldChar w:fldCharType="separate"/>
      </w:r>
      <w:r w:rsidR="00577186">
        <w:rPr>
          <w:noProof/>
        </w:rPr>
        <w:t>5</w:t>
      </w:r>
      <w:r>
        <w:fldChar w:fldCharType="end"/>
      </w:r>
      <w:bookmarkEnd w:id="9"/>
      <w:r>
        <w:t xml:space="preserve"> - Medição dos hábitos posturais através de fotografias</w:t>
      </w:r>
    </w:p>
    <w:p w14:paraId="3B810241" w14:textId="2E19CDFB"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498D19A3"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10"/>
      <w:r>
        <w:t xml:space="preserve">AVD </w:t>
      </w:r>
      <w:commentRangeEnd w:id="10"/>
      <w:r w:rsidR="00CF043C">
        <w:rPr>
          <w:rStyle w:val="Refdecomentrio"/>
        </w:rPr>
        <w:commentReference w:id="10"/>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F94FD1">
        <w:rPr>
          <w:rFonts w:cs="Arial"/>
          <w:kern w:val="0"/>
        </w:rPr>
        <w:t xml:space="preserve">(Candotti </w:t>
      </w:r>
      <w:r w:rsidRPr="00F94FD1">
        <w:rPr>
          <w:rFonts w:cs="Arial"/>
          <w:i/>
          <w:iCs/>
          <w:kern w:val="0"/>
        </w:rPr>
        <w:t>et al.</w:t>
      </w:r>
      <w:r w:rsidRPr="00F94FD1">
        <w:rPr>
          <w:rFonts w:cs="Arial"/>
          <w:kern w:val="0"/>
        </w:rPr>
        <w:t xml:space="preserve">, 2018, 2023; Da Rosa </w:t>
      </w:r>
      <w:r w:rsidRPr="00F94FD1">
        <w:rPr>
          <w:rFonts w:cs="Arial"/>
          <w:i/>
          <w:iCs/>
          <w:kern w:val="0"/>
        </w:rPr>
        <w:t>et al.</w:t>
      </w:r>
      <w:r w:rsidRPr="00F94FD1">
        <w:rPr>
          <w:rFonts w:cs="Arial"/>
          <w:kern w:val="0"/>
        </w:rPr>
        <w:t xml:space="preserve">, 2022; Gençbaş; Bebiş, 2019; Gökşen; Kocaman; Yıldırım, 2023; Miñana-Signes </w:t>
      </w:r>
      <w:r w:rsidRPr="00F94FD1">
        <w:rPr>
          <w:rFonts w:cs="Arial"/>
          <w:i/>
          <w:iCs/>
          <w:kern w:val="0"/>
        </w:rPr>
        <w:t>et al.</w:t>
      </w:r>
      <w:r w:rsidRPr="00F94FD1">
        <w:rPr>
          <w:rFonts w:cs="Arial"/>
          <w:kern w:val="0"/>
        </w:rPr>
        <w:t xml:space="preserve">, 2021; Noll </w:t>
      </w:r>
      <w:r w:rsidRPr="00F94FD1">
        <w:rPr>
          <w:rFonts w:cs="Arial"/>
          <w:i/>
          <w:iCs/>
          <w:kern w:val="0"/>
        </w:rPr>
        <w:t>et al.</w:t>
      </w:r>
      <w:r w:rsidRPr="00F94FD1">
        <w:rPr>
          <w:rFonts w:cs="Arial"/>
          <w:kern w:val="0"/>
        </w:rPr>
        <w:t>, 2013a)</w:t>
      </w:r>
      <w:r>
        <w:fldChar w:fldCharType="end"/>
      </w:r>
      <w:r>
        <w:t>. 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 xml:space="preserve">os elementos gráficos (fotografias e design gráfico indicando a região referente a dor no pescoço e </w:t>
      </w:r>
      <w:r w:rsidR="00DA3FFE">
        <w:lastRenderedPageBreak/>
        <w:t>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DA3FFE">
        <w:rPr>
          <w:rFonts w:cs="Arial"/>
          <w:kern w:val="0"/>
        </w:rPr>
        <w:t xml:space="preserve">(Candotti </w:t>
      </w:r>
      <w:r w:rsidR="00DA3FFE" w:rsidRPr="00DA3FFE">
        <w:rPr>
          <w:rFonts w:cs="Arial"/>
          <w:i/>
          <w:iCs/>
          <w:kern w:val="0"/>
        </w:rPr>
        <w:t>et al.</w:t>
      </w:r>
      <w:r w:rsidR="00DA3FFE" w:rsidRPr="00DA3FFE">
        <w:rPr>
          <w:rFonts w:cs="Arial"/>
          <w:kern w:val="0"/>
        </w:rPr>
        <w:t xml:space="preserve">, 2018, 2023; Da Rosa </w:t>
      </w:r>
      <w:r w:rsidR="00DA3FFE" w:rsidRPr="00DA3FFE">
        <w:rPr>
          <w:rFonts w:cs="Arial"/>
          <w:i/>
          <w:iCs/>
          <w:kern w:val="0"/>
        </w:rPr>
        <w:t>et al.</w:t>
      </w:r>
      <w:r w:rsidR="00DA3FFE" w:rsidRPr="00DA3FFE">
        <w:rPr>
          <w:rFonts w:cs="Arial"/>
          <w:kern w:val="0"/>
        </w:rPr>
        <w:t xml:space="preserve">, 2022; Gençbaş; Bebiş, 2019; Noll </w:t>
      </w:r>
      <w:r w:rsidR="00DA3FFE" w:rsidRPr="00DA3FFE">
        <w:rPr>
          <w:rFonts w:cs="Arial"/>
          <w:i/>
          <w:iCs/>
          <w:kern w:val="0"/>
        </w:rPr>
        <w:t>et al.</w:t>
      </w:r>
      <w:r w:rsidR="00DA3FFE" w:rsidRPr="00DA3FFE">
        <w:rPr>
          <w:rFonts w:cs="Arial"/>
          <w:kern w:val="0"/>
        </w:rPr>
        <w:t>, 2013a)</w:t>
      </w:r>
      <w:r w:rsidR="00DA3FFE">
        <w:fldChar w:fldCharType="end"/>
      </w:r>
      <w:r w:rsidR="00DA3FFE" w:rsidRPr="00DA3FFE">
        <w:t>.</w:t>
      </w:r>
      <w:r w:rsidR="00A55562">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1"/>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2"/>
                          <a:stretch>
                            <a:fillRect/>
                          </a:stretch>
                        </pic:blipFill>
                        <pic:spPr>
                          <a:xfrm>
                            <a:off x="1486107" y="0"/>
                            <a:ext cx="1467055" cy="2486372"/>
                          </a:xfrm>
                          <a:prstGeom prst="rect">
                            <a:avLst/>
                          </a:prstGeom>
                        </pic:spPr>
                      </pic:pic>
                    </wpg:wgp>
                  </a:graphicData>
                </a:graphic>
              </wp:inline>
            </w:drawing>
          </mc:Choice>
          <mc:Fallba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3"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4" o:title=""/>
                </v:shape>
                <w10:anchorlock/>
              </v:group>
            </w:pict>
          </mc:Fallback>
        </mc:AlternateContent>
      </w:r>
    </w:p>
    <w:p w14:paraId="4D1A70B4" w14:textId="36FEE5BD" w:rsidR="00577186" w:rsidRDefault="00577186" w:rsidP="00577186">
      <w:pPr>
        <w:pStyle w:val="Legenda"/>
      </w:pPr>
      <w:bookmarkStart w:id="11" w:name="_Ref197785888"/>
      <w:bookmarkStart w:id="12" w:name="_Ref197785880"/>
      <w:r>
        <w:t xml:space="preserve">Figura </w:t>
      </w:r>
      <w:r>
        <w:fldChar w:fldCharType="begin"/>
      </w:r>
      <w:r>
        <w:instrText xml:space="preserve"> SEQ Figura \* ARABIC </w:instrText>
      </w:r>
      <w:r>
        <w:fldChar w:fldCharType="separate"/>
      </w:r>
      <w:r>
        <w:rPr>
          <w:noProof/>
        </w:rPr>
        <w:t>6</w:t>
      </w:r>
      <w:r>
        <w:fldChar w:fldCharType="end"/>
      </w:r>
      <w:bookmarkEnd w:id="11"/>
      <w:r>
        <w:t xml:space="preserve"> - D</w:t>
      </w:r>
      <w:r w:rsidRPr="00666E71">
        <w:t>esign gráfico para apoio aos itens relativos à dor</w:t>
      </w:r>
      <w:bookmarkEnd w:id="12"/>
    </w:p>
    <w:p w14:paraId="330B4725" w14:textId="77777777"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commentRangeStart w:id="13"/>
      <w:r>
        <w:t>DISCUSSÃO</w:t>
      </w:r>
      <w:commentRangeEnd w:id="13"/>
      <w:r w:rsidR="00BA2E67">
        <w:rPr>
          <w:rStyle w:val="Refdecomentrio"/>
          <w:rFonts w:eastAsiaTheme="minorHAnsi" w:cstheme="minorBidi"/>
          <w:b w:val="0"/>
          <w:caps w:val="0"/>
        </w:rPr>
        <w:commentReference w:id="13"/>
      </w:r>
    </w:p>
    <w:p w14:paraId="39B5AFCF" w14:textId="709DDF84" w:rsidR="00AD5B1B" w:rsidRPr="00320814" w:rsidRDefault="00AD5B1B" w:rsidP="00AD5B1B">
      <w:r w:rsidRPr="00320814">
        <w:t>Os resultados indicam uma valorização da avaliação científica dos elementos, compreendida como a verificação da estrutura epistemológica</w:t>
      </w:r>
      <w:r w:rsidR="00BB2701">
        <w:t xml:space="preserve">, </w:t>
      </w:r>
      <w:r w:rsidRPr="00320814">
        <w:t>caracterização, representação e procedimentos</w:t>
      </w:r>
      <w:r w:rsidR="00BB2701">
        <w:t xml:space="preserve">, </w:t>
      </w:r>
      <w:r w:rsidRPr="00320814">
        <w:t>por meio de métodos sistemáticos de coleta de dados, análise e avaliação.</w:t>
      </w:r>
    </w:p>
    <w:p w14:paraId="0A265B6A" w14:textId="79EB3E1F" w:rsidR="00AD5B1B" w:rsidRPr="00320814" w:rsidRDefault="00AD5B1B" w:rsidP="00AD5B1B">
      <w:r w:rsidRPr="00320814">
        <w:t>Embora essa avaliação não seja inerente ao processo de medição, sua aplicação parece estar relacionada às heurísticas próprias da ciência da saúde e, consequentemente, à clinimetria. A caracterização, por exemplo, pode ocorrer de diferentes formas</w:t>
      </w:r>
      <w:r w:rsidR="00BB2701">
        <w:t xml:space="preserve"> </w:t>
      </w:r>
      <w:r w:rsidR="00BB2701">
        <w:fldChar w:fldCharType="begin"/>
      </w:r>
      <w:r w:rsidR="00BB2701">
        <w:instrText xml:space="preserve"> ADDIN ZOTERO_ITEM CSL_CITATION {"citationID":"qbupCv2r","properties":{"formattedCitation":"(Bradburn;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rsidR="00BB2701">
        <w:fldChar w:fldCharType="separate"/>
      </w:r>
      <w:r w:rsidR="00BB2701" w:rsidRPr="00BB2701">
        <w:rPr>
          <w:rFonts w:cs="Arial"/>
        </w:rPr>
        <w:t>(Bradburn; Cartwright; Fuller, 2016; Cartwright; Runhardt, 2018)</w:t>
      </w:r>
      <w:r w:rsidR="00BB2701">
        <w:fldChar w:fldCharType="end"/>
      </w:r>
      <w:r w:rsidRPr="00320814">
        <w:t xml:space="preserve">. Na definição operacional, o elemento é caracterizado com base nos próprios </w:t>
      </w:r>
      <w:r w:rsidRPr="00320814">
        <w:lastRenderedPageBreak/>
        <w:t>procedimentos do sistema de medição, como ocorre no caso do índice de massa corporal (IMC). Outra abordagem consiste na caracterização implícita, realizada por meio da relação entre conceitos, como se observa na síndrome metabólica e na fragilidade. Há também a caracterização explícita, que estabelece critérios diretos para definição dos elementos.</w:t>
      </w:r>
    </w:p>
    <w:p w14:paraId="7C8DA25C" w14:textId="77777777" w:rsidR="00AD5B1B" w:rsidRPr="00320814" w:rsidRDefault="00AD5B1B" w:rsidP="00AD5B1B">
      <w:r w:rsidRPr="00320814">
        <w:t>Ainda que os conceitos científicos sejam produzidos por meio de métodos padronizados de coleta de dados, análise e avaliação, sua aplicação em um sistema de medição não exige, necessariamente, um processo formal de avaliação científica para cada elemento da caracterização. O mesmo princípio se aplica à representação e aos procedimentos. No entanto, todos os elementos foram submetidos, em algum momento, a algum tipo de avaliação científica por alguma fonte.</w:t>
      </w:r>
    </w:p>
    <w:p w14:paraId="609A8DBE" w14:textId="0F5C8D1D" w:rsidR="00AD5B1B" w:rsidRPr="00320814" w:rsidRDefault="00AD5B1B" w:rsidP="00AD5B1B">
      <w:r w:rsidRPr="00320814">
        <w:t>Os hábitos posturais representam um conceito relevante para o BackPEI, embora nenhuma das fontes analisadas os caracterize de maneira objetiva</w:t>
      </w:r>
      <w:r>
        <w:t>, por outro lado, a caracterização é demonstrada a partir d</w:t>
      </w:r>
      <w:r w:rsidRPr="00320814">
        <w:t xml:space="preserve">a concordância o sistema </w:t>
      </w:r>
      <w:proofErr w:type="spellStart"/>
      <w:r w:rsidRPr="00320814">
        <w:t>LADy</w:t>
      </w:r>
      <w:proofErr w:type="spellEnd"/>
      <w:r>
        <w:t xml:space="preserve"> que também realiza a medição de hábitos posturais</w:t>
      </w:r>
      <w:r w:rsidR="00BB2701">
        <w:t xml:space="preserve"> </w:t>
      </w:r>
      <w:r w:rsidR="00BB2701">
        <w:fldChar w:fldCharType="begin"/>
      </w:r>
      <w:r w:rsidR="00BB2701">
        <w:instrText xml:space="preserve"> ADDIN ZOTERO_ITEM CSL_CITATION {"citationID":"eVgkHnIA","properties":{"formattedCitation":"(Antoniolli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BB2701">
        <w:fldChar w:fldCharType="separate"/>
      </w:r>
      <w:r w:rsidR="00BB2701" w:rsidRPr="00BB2701">
        <w:rPr>
          <w:rFonts w:cs="Arial"/>
          <w:kern w:val="0"/>
        </w:rPr>
        <w:t xml:space="preserve">(Antoniolli </w:t>
      </w:r>
      <w:r w:rsidR="00BB2701" w:rsidRPr="00BB2701">
        <w:rPr>
          <w:rFonts w:cs="Arial"/>
          <w:i/>
          <w:iCs/>
          <w:kern w:val="0"/>
        </w:rPr>
        <w:t>et al.</w:t>
      </w:r>
      <w:r w:rsidR="00BB2701" w:rsidRPr="00BB2701">
        <w:rPr>
          <w:rFonts w:cs="Arial"/>
          <w:kern w:val="0"/>
        </w:rPr>
        <w:t>, 2015)</w:t>
      </w:r>
      <w:r w:rsidR="00BB2701">
        <w:fldChar w:fldCharType="end"/>
      </w:r>
      <w:r w:rsidRPr="00320814">
        <w:t>. Assim, na clinimetria, torna-se essencial o desenvolvimento de métodos para a avaliação científica da caracterização, representação e procedimentos, sendo fundamental compreender quais</w:t>
      </w:r>
      <w:r>
        <w:t xml:space="preserve"> destes</w:t>
      </w:r>
      <w:r w:rsidRPr="00320814">
        <w:t xml:space="preserve"> elementos são contemplados por cada abordagem metodológica empregada.</w:t>
      </w:r>
    </w:p>
    <w:p w14:paraId="243CA8A3" w14:textId="3EB954E4" w:rsidR="00AD5B1B" w:rsidRPr="00320814" w:rsidRDefault="00AD5B1B" w:rsidP="00AD5B1B">
      <w:r w:rsidRPr="00320814">
        <w:t>Esta revisão identificou uma ampla variedade de termos para descrever um mesmo método de análise, o que dificulta a compreensão da metodologia dos estudos e do propósito de cada técnica empregada. Problema semelhante foi observado em outra revisão de escopo sobre métodos de avaliação dinâmica do ombro, na qual o mesmo termo foi utilizado para designar metodologias distintas</w:t>
      </w:r>
      <w:r w:rsidR="00BB2701">
        <w:t xml:space="preserve"> </w:t>
      </w:r>
      <w:r w:rsidR="00BB2701">
        <w:fldChar w:fldCharType="begin"/>
      </w:r>
      <w:r w:rsidR="00BB2701">
        <w:instrText xml:space="preserve"> ADDIN ZOTERO_ITEM CSL_CITATION {"citationID":"In57Cl6U","properties":{"formattedCitation":"(Beraldo;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BB2701">
        <w:fldChar w:fldCharType="separate"/>
      </w:r>
      <w:r w:rsidR="00BB2701" w:rsidRPr="00BB2701">
        <w:rPr>
          <w:rFonts w:cs="Arial"/>
        </w:rPr>
        <w:t>(Beraldo; Silva; Candotti, 2022)</w:t>
      </w:r>
      <w:r w:rsidR="00BB2701">
        <w:fldChar w:fldCharType="end"/>
      </w:r>
      <w:r w:rsidRPr="00320814">
        <w:t>. Os autores sugerem que a adoção de guias metodológicos específicos para a clinimetria pode contribuir para minimizar essa inconsistência terminológica.</w:t>
      </w:r>
    </w:p>
    <w:p w14:paraId="461E3D4C" w14:textId="399C0FB3" w:rsidR="00AD5B1B" w:rsidRDefault="00AD5B1B" w:rsidP="00AD5B1B">
      <w:r w:rsidRPr="00320814">
        <w:t>Entre as fontes revisadas, apenas uma relatou o uso de um guia metodológico desse tipo. Candotti et al.</w:t>
      </w:r>
      <w:r w:rsidR="00BB2701">
        <w:t xml:space="preserve"> </w:t>
      </w:r>
      <w:r w:rsidR="00BB2701">
        <w:fldChar w:fldCharType="begin"/>
      </w:r>
      <w:r w:rsidR="00BB2701">
        <w:instrText xml:space="preserve"> ADDIN ZOTERO_ITEM CSL_CITATION {"citationID":"xEUT1Nop","properties":{"formattedCitation":"(2023)","plainCitation":"(2023)","noteIndex":0},"citationItems":[{"id":2289,"uris":["http://zotero.org/groups/5422192/items/NLA5EGR8"],"itemData":{"id":2289,"type":"article-journal","abstract":"Introduction: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indicaram seguir as diretrizes da iniciativa COSMIN </w:t>
      </w:r>
      <w:r w:rsidR="00BB2701">
        <w:fldChar w:fldCharType="begin"/>
      </w:r>
      <w:r w:rsidR="00BB2701">
        <w:instrText xml:space="preserve"> ADDIN ZOTERO_ITEM CSL_CITATION {"citationID":"CKEUYrBf","properties":{"formattedCitation":"(Mokkink,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No entanto, a COSMIN classifica parte da metodologia empregada pelas autoras como “erro de medição teste-reteste”, um termo que as autoras não reconhecem como </w:t>
      </w:r>
      <w:r>
        <w:t xml:space="preserve">uma </w:t>
      </w:r>
      <w:r w:rsidRPr="00320814">
        <w:t>metodologia específica e tampouco utilizam</w:t>
      </w:r>
      <w:r w:rsidR="00BB2701">
        <w:t xml:space="preserve"> </w:t>
      </w:r>
      <w:r w:rsidR="00BB2701">
        <w:fldChar w:fldCharType="begin"/>
      </w:r>
      <w:r w:rsidR="00BB2701">
        <w:instrText xml:space="preserve"> ADDIN ZOTERO_ITEM CSL_CITATION {"citationID":"OfAZeiSx","properties":{"formattedCitation":"(Mokkink, Lidwine B. {\\i{}et al.}, 2010)","plainCitation":"(Mokkink, Lidwine B. et al., 2010)","noteIndex":0},"citationItems":[{"id":184,"uris":["http://zotero.org/users/8796872/items/8A88FUUA"],"itemData":{"id":184,"type":"article-journal","abstract":"Background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w:t>
      </w:r>
      <w:r>
        <w:t>Porém, c</w:t>
      </w:r>
      <w:r w:rsidRPr="00320814">
        <w:t>aso Candotti e colaboradoras</w:t>
      </w:r>
      <w:r w:rsidR="00BB2701">
        <w:t xml:space="preserve"> </w:t>
      </w:r>
      <w:r w:rsidR="00BB2701">
        <w:fldChar w:fldCharType="begin"/>
      </w:r>
      <w:r w:rsidR="00BB2701">
        <w:instrText xml:space="preserve"> ADDIN ZOTERO_ITEM CSL_CITATION {"citationID":"D9PQ5Wbd","properties":{"formattedCitation":"(2023)","plainCitation":"(2023)","noteIndex":0},"citationItems":[{"id":2289,"uris":["http://zotero.org/groups/5422192/items/NLA5EGR8"],"itemData":{"id":2289,"type":"article-journal","abstract":"Introduction: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tivessem adotado integralmente </w:t>
      </w:r>
      <w:r w:rsidR="00BB2701">
        <w:t>o</w:t>
      </w:r>
      <w:r w:rsidRPr="00320814">
        <w:t xml:space="preserve"> estabelecid</w:t>
      </w:r>
      <w:r w:rsidR="00BB2701">
        <w:t>o</w:t>
      </w:r>
      <w:r w:rsidRPr="00320814">
        <w:t xml:space="preserve"> pela COSMIN, a confusão </w:t>
      </w:r>
      <w:r w:rsidRPr="00320814">
        <w:lastRenderedPageBreak/>
        <w:t>terminológica seria ampliada, pois essa seria a única fonte a utilizar o termo “erro de medição teste-reteste” e a única a tratá-lo como uma metodologia distinta da “confiabilidade teste-reteste”.</w:t>
      </w:r>
    </w:p>
    <w:p w14:paraId="6E3FECC7" w14:textId="1045FF95" w:rsidR="00AD5B1B" w:rsidRDefault="00AD5B1B" w:rsidP="00AD5B1B">
      <w:r w:rsidRPr="00320814">
        <w:t>Ao indicar uma referência, Candotti e colaboradoras</w:t>
      </w:r>
      <w:r w:rsidR="00BB2701">
        <w:t xml:space="preserve"> </w:t>
      </w:r>
      <w:r w:rsidR="00BB2701">
        <w:fldChar w:fldCharType="begin"/>
      </w:r>
      <w:r w:rsidR="00BB2701">
        <w:instrText xml:space="preserve"> ADDIN ZOTERO_ITEM CSL_CITATION {"citationID":"d9hnCICX","properties":{"formattedCitation":"(2023)","plainCitation":"(2023)","noteIndex":0},"citationItems":[{"id":2289,"uris":["http://zotero.org/groups/5422192/items/NLA5EGR8"],"itemData":{"id":2289,"type":"article-journal","abstract":"Introduction: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oferecem um esclarecimento sobre o propósito dos métodos empregados. A COSMIN, por exemplo, define confiabilidade como </w:t>
      </w:r>
    </w:p>
    <w:p w14:paraId="256B76D2" w14:textId="77777777" w:rsidR="00AD5B1B" w:rsidRDefault="00AD5B1B" w:rsidP="00AD5B1B">
      <w:pPr>
        <w:pStyle w:val="Citao"/>
      </w:pPr>
      <w:r>
        <w:t xml:space="preserve">o grau </w:t>
      </w:r>
      <w:r w:rsidRPr="00123056">
        <w:t xml:space="preserve">no qual uma medição está livre de erros de medição [e] </w:t>
      </w:r>
      <w:proofErr w:type="spellStart"/>
      <w:r w:rsidRPr="00123056">
        <w:t>a</w:t>
      </w:r>
      <w:proofErr w:type="spellEnd"/>
      <w:r w:rsidRPr="00123056">
        <w:t xml:space="preserve"> medida em que as pontuações de pacientes que não mudaram permanecem as mesmas em repetidas medições sob várias condições: por exemplo, [...] ao longo do tempo (teste-reteste) </w:t>
      </w:r>
      <w:r w:rsidRPr="00123056">
        <w:fldChar w:fldCharType="begin"/>
      </w:r>
      <w:r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Pr="00123056">
        <w:fldChar w:fldCharType="separate"/>
      </w:r>
      <w:r w:rsidRPr="00123056">
        <w:t>(Mokkink, L B et al., 2010, p. 743)</w:t>
      </w:r>
      <w:r w:rsidRPr="00123056">
        <w:fldChar w:fldCharType="end"/>
      </w:r>
      <w:r>
        <w:t>.</w:t>
      </w:r>
    </w:p>
    <w:p w14:paraId="26BA18C1" w14:textId="77777777" w:rsidR="00AD5B1B" w:rsidRPr="00320814" w:rsidRDefault="00AD5B1B" w:rsidP="00AD5B1B">
      <w:r w:rsidRPr="00320814">
        <w:t xml:space="preserve">Com base nessa definição, é possível determinar que </w:t>
      </w:r>
      <w:proofErr w:type="gramStart"/>
      <w:r w:rsidRPr="00320814">
        <w:t>os métodos utilizados na confiabilidade teste</w:t>
      </w:r>
      <w:proofErr w:type="gramEnd"/>
      <w:r w:rsidRPr="00320814">
        <w:t>-reteste concentram-se na avaliação da qualidade operacional do sistema de medição, estando, portanto, direcionados aos procedimentos, e não à caracterização ou à representação. Para mitigar a confusão decorrente da diversidade de termos, metodologias e conceitos, seria recomendável que os autores apresentassem definições claras para os termos empregados na metodologia ou recorressem a referências que explicitem tais definições, permitindo uma compreensão precisa dos objetivos e da abordagem de cada estudo.</w:t>
      </w:r>
    </w:p>
    <w:p w14:paraId="4C545C02" w14:textId="1C33B084" w:rsidR="00AD5B1B" w:rsidRPr="00320814" w:rsidRDefault="00AD5B1B" w:rsidP="00AD5B1B">
      <w:r w:rsidRPr="00320814">
        <w:t xml:space="preserve">O mesmo método, ou seus elementos, pode ser aplicado para finalidades distintas. O índice de </w:t>
      </w:r>
      <w:proofErr w:type="spellStart"/>
      <w:r w:rsidRPr="00320814">
        <w:t>kappa</w:t>
      </w:r>
      <w:proofErr w:type="spellEnd"/>
      <w:r w:rsidRPr="00320814">
        <w:t>, por exemplo, foi amplamente utilizado para avaliar os procedimentos por meio da confiabilidade teste-reteste</w:t>
      </w:r>
      <w:r w:rsidR="00BB2701">
        <w:t xml:space="preserve"> </w:t>
      </w:r>
      <w:r w:rsidR="00BB2701">
        <w:fldChar w:fldCharType="begin"/>
      </w:r>
      <w:r w:rsidR="00BB2701">
        <w:instrText xml:space="preserve"> ADDIN ZOTERO_ITEM CSL_CITATION {"citationID":"wWm1qnOc","properties":{"formattedCitation":"(Candotti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BB2701">
        <w:fldChar w:fldCharType="separate"/>
      </w:r>
      <w:r w:rsidR="00BB2701" w:rsidRPr="00BB2701">
        <w:rPr>
          <w:rFonts w:cs="Arial"/>
          <w:kern w:val="0"/>
        </w:rPr>
        <w:t xml:space="preserve">(Candotti </w:t>
      </w:r>
      <w:r w:rsidR="00BB2701" w:rsidRPr="00BB2701">
        <w:rPr>
          <w:rFonts w:cs="Arial"/>
          <w:i/>
          <w:iCs/>
          <w:kern w:val="0"/>
        </w:rPr>
        <w:t>et al.</w:t>
      </w:r>
      <w:r w:rsidR="00BB2701" w:rsidRPr="00BB2701">
        <w:rPr>
          <w:rFonts w:cs="Arial"/>
          <w:kern w:val="0"/>
        </w:rPr>
        <w:t xml:space="preserve">, 2018, 2023; Da Rosa </w:t>
      </w:r>
      <w:r w:rsidR="00BB2701" w:rsidRPr="00BB2701">
        <w:rPr>
          <w:rFonts w:cs="Arial"/>
          <w:i/>
          <w:iCs/>
          <w:kern w:val="0"/>
        </w:rPr>
        <w:t>et al.</w:t>
      </w:r>
      <w:r w:rsidR="00BB2701" w:rsidRPr="00BB2701">
        <w:rPr>
          <w:rFonts w:cs="Arial"/>
          <w:kern w:val="0"/>
        </w:rPr>
        <w:t xml:space="preserve">, 2022; Gençbaş; Bebiş, 2019; Miñana-Signes </w:t>
      </w:r>
      <w:r w:rsidR="00BB2701" w:rsidRPr="00BB2701">
        <w:rPr>
          <w:rFonts w:cs="Arial"/>
          <w:i/>
          <w:iCs/>
          <w:kern w:val="0"/>
        </w:rPr>
        <w:t>et al.</w:t>
      </w:r>
      <w:r w:rsidR="00BB2701" w:rsidRPr="00BB2701">
        <w:rPr>
          <w:rFonts w:cs="Arial"/>
          <w:kern w:val="0"/>
        </w:rPr>
        <w:t xml:space="preserve">, 2021; Noll </w:t>
      </w:r>
      <w:r w:rsidR="00BB2701" w:rsidRPr="00BB2701">
        <w:rPr>
          <w:rFonts w:cs="Arial"/>
          <w:i/>
          <w:iCs/>
          <w:kern w:val="0"/>
        </w:rPr>
        <w:t>et al.</w:t>
      </w:r>
      <w:r w:rsidR="00BB2701" w:rsidRPr="00BB2701">
        <w:rPr>
          <w:rFonts w:cs="Arial"/>
          <w:kern w:val="0"/>
        </w:rPr>
        <w:t>, 2013a)</w:t>
      </w:r>
      <w:r w:rsidR="00BB2701">
        <w:fldChar w:fldCharType="end"/>
      </w:r>
      <w:r w:rsidRPr="00320814">
        <w:t xml:space="preserve">. Contudo, essa mesma análise estatística também foi empregada na avaliação da caracterização dos hábitos posturais por meio da concordância com o sistema </w:t>
      </w:r>
      <w:proofErr w:type="spellStart"/>
      <w:r w:rsidRPr="00320814">
        <w:t>LADy</w:t>
      </w:r>
      <w:proofErr w:type="spellEnd"/>
      <w:r w:rsidR="00132461">
        <w:t xml:space="preserve"> </w:t>
      </w:r>
      <w:r w:rsidR="00132461">
        <w:fldChar w:fldCharType="begin"/>
      </w:r>
      <w:r w:rsidR="00132461">
        <w:instrText xml:space="preserve"> ADDIN ZOTERO_ITEM CSL_CITATION {"citationID":"QFed3tw2","properties":{"formattedCitation":"(Antoniolli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132461">
        <w:fldChar w:fldCharType="separate"/>
      </w:r>
      <w:r w:rsidR="00132461" w:rsidRPr="00132461">
        <w:rPr>
          <w:rFonts w:cs="Arial"/>
          <w:kern w:val="0"/>
        </w:rPr>
        <w:t xml:space="preserve">(Antoniolli </w:t>
      </w:r>
      <w:r w:rsidR="00132461" w:rsidRPr="00132461">
        <w:rPr>
          <w:rFonts w:cs="Arial"/>
          <w:i/>
          <w:iCs/>
          <w:kern w:val="0"/>
        </w:rPr>
        <w:t>et al.</w:t>
      </w:r>
      <w:r w:rsidR="00132461" w:rsidRPr="00132461">
        <w:rPr>
          <w:rFonts w:cs="Arial"/>
          <w:kern w:val="0"/>
        </w:rPr>
        <w:t>, 2015)</w:t>
      </w:r>
      <w:r w:rsidR="00132461">
        <w:fldChar w:fldCharType="end"/>
      </w:r>
      <w:r w:rsidRPr="00320814">
        <w:t>.</w:t>
      </w:r>
    </w:p>
    <w:p w14:paraId="5B5AA5E5" w14:textId="68332CE9" w:rsidR="00AD5B1B" w:rsidRPr="00320814" w:rsidRDefault="00AD5B1B" w:rsidP="00AD5B1B">
      <w:r w:rsidRPr="00320814">
        <w:t xml:space="preserve">Outro exemplo é a validade de conteúdo, cuja relação com os procedimentos foi mais evidente nas pesquisas </w:t>
      </w:r>
      <w:proofErr w:type="spellStart"/>
      <w:r w:rsidRPr="00320814">
        <w:t>clinimétricas</w:t>
      </w:r>
      <w:proofErr w:type="spellEnd"/>
      <w:r w:rsidRPr="00320814">
        <w:t xml:space="preserve"> do BackPEI</w:t>
      </w:r>
      <w:r w:rsidR="00132461">
        <w:t xml:space="preserve"> </w:t>
      </w:r>
      <w:r w:rsidR="00132461">
        <w:fldChar w:fldCharType="begin"/>
      </w:r>
      <w:r w:rsidR="00640B09">
        <w:instrText xml:space="preserve"> ADDIN ZOTERO_ITEM CSL_CITATION {"citationID":"ROmxQMA8","properties":{"formattedCitation":"(Candotti {\\i{}et al.}, 2018, 2023; Da Rosa {\\i{}et al.}, 2022, p. 22; Gen\\uc0\\u231{}ba\\uc0\\u351{}; Bebi\\uc0\\u351{}, 2019; Noll {\\i{}et al.}, 2013a)","plainCitation":"(Candotti et al., 2018, 2023; Da Rosa et al., 2022, p. 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Fagundes"}],"issued":{"date-parts":[["2022",1,27]]}},"locator":"22"},{"id":1647,"uris":["http://zotero.org/groups/5422192/items/FG7NR2KA"],"itemData":{"id":1647,"type":"article-journal","container-title":"Acibadem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32461">
        <w:fldChar w:fldCharType="separate"/>
      </w:r>
      <w:r w:rsidR="00640B09" w:rsidRPr="00640B09">
        <w:rPr>
          <w:rFonts w:cs="Arial"/>
          <w:kern w:val="0"/>
        </w:rPr>
        <w:t xml:space="preserve">(Candotti </w:t>
      </w:r>
      <w:r w:rsidR="00640B09" w:rsidRPr="00640B09">
        <w:rPr>
          <w:rFonts w:cs="Arial"/>
          <w:i/>
          <w:iCs/>
          <w:kern w:val="0"/>
        </w:rPr>
        <w:t>et al.</w:t>
      </w:r>
      <w:r w:rsidR="00640B09" w:rsidRPr="00640B09">
        <w:rPr>
          <w:rFonts w:cs="Arial"/>
          <w:kern w:val="0"/>
        </w:rPr>
        <w:t xml:space="preserve">, 2018, 2023; Da Rosa </w:t>
      </w:r>
      <w:r w:rsidR="00640B09" w:rsidRPr="00640B09">
        <w:rPr>
          <w:rFonts w:cs="Arial"/>
          <w:i/>
          <w:iCs/>
          <w:kern w:val="0"/>
        </w:rPr>
        <w:t>et al.</w:t>
      </w:r>
      <w:r w:rsidR="00640B09" w:rsidRPr="00640B09">
        <w:rPr>
          <w:rFonts w:cs="Arial"/>
          <w:kern w:val="0"/>
        </w:rPr>
        <w:t xml:space="preserve">, 2022, p. 22; Gençbaş; Bebiş, 2019; Noll </w:t>
      </w:r>
      <w:r w:rsidR="00640B09" w:rsidRPr="00640B09">
        <w:rPr>
          <w:rFonts w:cs="Arial"/>
          <w:i/>
          <w:iCs/>
          <w:kern w:val="0"/>
        </w:rPr>
        <w:t>et al.</w:t>
      </w:r>
      <w:r w:rsidR="00640B09" w:rsidRPr="00640B09">
        <w:rPr>
          <w:rFonts w:cs="Arial"/>
          <w:kern w:val="0"/>
        </w:rPr>
        <w:t>, 2013a)</w:t>
      </w:r>
      <w:r w:rsidR="00132461">
        <w:fldChar w:fldCharType="end"/>
      </w:r>
      <w:r w:rsidRPr="00320814">
        <w:t>, enquanto no BABAQ esteve mais associada à caracterização</w:t>
      </w:r>
      <w:r w:rsidR="00132461">
        <w:t xml:space="preserve"> </w:t>
      </w:r>
      <w:r w:rsidR="00132461">
        <w:fldChar w:fldCharType="begin"/>
      </w:r>
      <w:r w:rsidR="00132461">
        <w:instrText xml:space="preserve"> ADDIN ZOTERO_ITEM CSL_CITATION {"citationID":"hbGqDLSC","properties":{"formattedCitation":"(Akbari-Chehrehbargh;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132461">
        <w:fldChar w:fldCharType="separate"/>
      </w:r>
      <w:r w:rsidR="00132461" w:rsidRPr="00132461">
        <w:rPr>
          <w:rFonts w:cs="Arial"/>
        </w:rPr>
        <w:t>(Akbari-Chehrehbargh; Tavafian; Montazeri, 2020)</w:t>
      </w:r>
      <w:r w:rsidR="00132461">
        <w:fldChar w:fldCharType="end"/>
      </w:r>
      <w:r w:rsidRPr="00320814">
        <w:t>. Essa diferença decorre das perguntas dirigidas ao painel de especialistas. No caso do BackPEI, os especialistas foram questionados sobre aspectos operacionais, como a clareza das questões e a adequação do uso de fotografias para avaliar hábitos posturais. Por outro lado, no BABAQ, o painel analisou a necessidade e relevância dos itens, de modo a selecionar apenas aqueles que contribuíssem para a medição do comportamento de cuidado com as costas.</w:t>
      </w:r>
    </w:p>
    <w:p w14:paraId="3F9B34FB" w14:textId="77777777" w:rsidR="00AD5B1B" w:rsidRPr="00320814" w:rsidRDefault="00AD5B1B" w:rsidP="00AD5B1B">
      <w:r w:rsidRPr="00320814">
        <w:lastRenderedPageBreak/>
        <w:t>Isso não significa que a validade de conteúdo tenha sido utilizada exclusivamente para avaliar os procedimentos no BackPEI e apenas a caracterização no BABAQ, visto que os especialistas poderiam apontar a irrelevância de um item no BackPEI</w:t>
      </w:r>
      <w:r>
        <w:t>, por exemplo</w:t>
      </w:r>
      <w:r w:rsidRPr="00320814">
        <w:t>. Os métodos</w:t>
      </w:r>
      <w:r>
        <w:t xml:space="preserve"> da clinimetria</w:t>
      </w:r>
      <w:r w:rsidRPr="00320814">
        <w:t xml:space="preserve"> não foram concebidos a partir da estrutura epistemológica das medições; os pesquisadores buscam avaliar o sistema de medição de forma ampla, podendo abranger simultaneamente diferentes elementos. No entanto, os achados sugerem que a validade de conteúdo pode ser direcionada a distintos elementos conforme os critérios utilizados para inquirir o painel de especialistas.</w:t>
      </w:r>
    </w:p>
    <w:p w14:paraId="4DDF34BF" w14:textId="77777777" w:rsidR="00AD5B1B" w:rsidRPr="00320814" w:rsidRDefault="00AD5B1B" w:rsidP="00AD5B1B">
      <w:r w:rsidRPr="00320814">
        <w:t xml:space="preserve">A análise das fontes desta revisão revela uma maior dedicação aos procedimentos, seguida pela caracterização e, por último, pela representação. Essa atenção é evidenciada tanto na explicitação dos elementos operacionais nos artigos quanto na avaliação científica realizada. A confiabilidade teste-reteste constitui um método amplamente utilizado para a avaliação dos procedimentos, abrangendo diversos aspectos operacionais. Da mesma forma, a validade de conteúdo desempenha um papel essencial no desenvolvimento de questionários, permitindo aprimoramentos como a substituição de termos e a inclusão de materiais de apoio para facilitar a compreensão das perguntas, como as fotografias utilizadas no BackPEI. No entanto, observa-se uma lacuna quanto à avaliação da caracterização e da representação nas pesquisas </w:t>
      </w:r>
      <w:proofErr w:type="spellStart"/>
      <w:r w:rsidRPr="00320814">
        <w:t>clinimétricas</w:t>
      </w:r>
      <w:proofErr w:type="spellEnd"/>
      <w:r w:rsidRPr="00320814">
        <w:t xml:space="preserve"> relacionadas a esse sistema.</w:t>
      </w:r>
    </w:p>
    <w:p w14:paraId="06F75B48" w14:textId="7E4D0C53" w:rsidR="00AD5B1B" w:rsidRPr="00320814" w:rsidRDefault="00AD5B1B" w:rsidP="00AD5B1B">
      <w:r w:rsidRPr="00320814">
        <w:t>Na clinimetria, a principal abordagem para avaliar a caracterização de um sistema de medição é por meio da validade concorrente</w:t>
      </w:r>
      <w:r w:rsidR="00132461">
        <w:t xml:space="preserve"> </w:t>
      </w:r>
      <w:r w:rsidR="00132461">
        <w:fldChar w:fldCharType="begin"/>
      </w:r>
      <w:r w:rsidR="00A31156">
        <w:instrText xml:space="preserve"> ADDIN ZOTERO_ITEM CSL_CITATION {"citationID":"qT5lxeix","properties":{"formattedCitation":"(Beraldo; Silva; Candotti, 2022; Bliznashka {\\i{}et al.}, 2025)","plainCitation":"(Beraldo; Silva; Candotti, 2022; Bliznashka et al., 2025)","noteIndex":0},"citationItems":[{"id":122,"uris":["http://zotero.org/users/8796872/items/KCK6FPML"],"itemData":{"id":122,"type":"article-journal","container-title":"Fisioterapia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Tarragô"}],"issued":{"date-parts":[["2022"]]}}},{"id":3676,"uris":["http://zotero.org/users/8796872/items/33MMBKAY"],"itemData":{"id":3676,"type":"article-journal","abstract":"Objective\n              Valid and reliable measurement of early childhood development (ECD) is critical for monitoring and evaluating ECD-related policies and programmes. Although ECD tools developed in high-income countries may be applicable to low- and middle-income countries (LMICs), directly applying them in LMICs can be problematic without psychometric evidence for new cultures and contexts. Our objective was to systematically appraise available evidence on the psychometric properties of tools used to measure ECD in LMIC.\n            \n            \n              Design\n              A systematic review following the Preferred Reporting Items for Systematic reviews and Meta-Analyses guidelines.\n            \n            \n              Data sources\n              MEDLINE, Embase, PubMed, PsycInfo, SciELO and BVS were searched from inception to February 2025.\n            \n            \n              Eligibility criteria\n              We included studies that examined the reliability, validity, and measurement invariance of tools assessing ECD in children 0–6 years of age living in LMICs.\n            \n            \n              Data extraction and synthesis\n              Each study was independently screened by two researchers and data extracted by one randomly assigned researcher. Risk of bias was assessed using a checklist developed by the study team assessing bias due to training/administration, selective reporting and missing data. Results were synthesised narratively by country, location, age group at assessment and developmental domain.\n            \n            \n              Results\n              A total of 160 articles covering 117 tools met inclusion criteria. Most reported psychometric properties were internal consistency reliability (n=117, 64%), concurrent validity (n=81, 45%), convergent validity (n=74, 41%), test–retest reliability (n=73, 40%) and structural validity (n=72, 40%). Measurement invariance was least commonly reported (n=16, 9%). Most articles came from Brazil, China, India and South Africa. Most psychometric evidence was from urban (n=92, 51%) or urban–rural (n=41, 23%) contexts. Study samples focused on children aged 6–17.9 or 48–59.9 months. The most assessed developmental domains were language (n=111, 61%), motor (n=104, 57%) and cognitive (n=82, 45%). Bias due to missing data was most common.\n            \n            \n              Conclusions\n              Psychometric evidence is fragmented, limited and heterogeneous. More rigorous psychometric analyses, especially on measurement invariance, are needed to establish the quality and accuracy of ECD tools for use in LMICs.\n            \n            \n              PROSPERO registration number\n              CRD42022372305.","container-title":"BMJ Open","DOI":"10.1136/bmjopen-2024-096365","ISSN":"2044-6055, 2044-6055","issue":"5","journalAbbreviation":"BMJ Open","language":"en","page":"e096365","source":"DOI.org (Crossref)","title":"Psychometric properties of early childhood development assessment tools in low- and middle-income countries: a systematic review","title-short":"Psychometric properties of early childhood development assessment tools in low- and middle-income countries","volume":"15","author":[{"family":"Bliznashka","given":"Lilia"},{"family":"Hentschel","given":"Elizabeth"},{"family":"Ali","given":"Nazia Binte"},{"family":"Hunt","given":"Xanthe"},{"family":"Neville","given":"Sarah Elizabeth"},{"family":"Olney","given":"Deanna"},{"family":"Pitchik","given":"Helen O"},{"family":"Roy","given":"Aditi"},{"family":"Seiden","given":"Jonathan"},{"family":"Solís-Cordero","given":"Katherine"},{"family":"Thapa","given":"Aradhana"},{"family":"Jeong","given":"Joshua"}],"issued":{"date-parts":[["2025",5]]}}}],"schema":"https://github.com/citation-style-language/schema/raw/master/csl-citation.json"} </w:instrText>
      </w:r>
      <w:r w:rsidR="00132461">
        <w:fldChar w:fldCharType="separate"/>
      </w:r>
      <w:r w:rsidR="00A31156" w:rsidRPr="00A31156">
        <w:rPr>
          <w:rFonts w:cs="Arial"/>
          <w:kern w:val="0"/>
        </w:rPr>
        <w:t xml:space="preserve">(Beraldo; Silva; Candotti, 2022; Bliznashka </w:t>
      </w:r>
      <w:r w:rsidR="00A31156" w:rsidRPr="00A31156">
        <w:rPr>
          <w:rFonts w:cs="Arial"/>
          <w:i/>
          <w:iCs/>
          <w:kern w:val="0"/>
        </w:rPr>
        <w:t>et al.</w:t>
      </w:r>
      <w:r w:rsidR="00A31156" w:rsidRPr="00A31156">
        <w:rPr>
          <w:rFonts w:cs="Arial"/>
          <w:kern w:val="0"/>
        </w:rPr>
        <w:t>, 2025)</w:t>
      </w:r>
      <w:r w:rsidR="00132461">
        <w:fldChar w:fldCharType="end"/>
      </w:r>
      <w:r w:rsidRPr="00320814">
        <w:t xml:space="preserve">. Nesse método, um mesmo conceito é mensurado nos mesmos objetos de medição por dois sistemas distintos: aquele que está sendo avaliado e um sistema reconhecido pela comunidade científica como capaz de medir esse conceito de forma </w:t>
      </w:r>
      <w:r w:rsidR="00A31156">
        <w:t xml:space="preserve">confiável </w:t>
      </w:r>
      <w:r w:rsidR="00A31156">
        <w:fldChar w:fldCharType="begin"/>
      </w:r>
      <w:r w:rsidR="00F83005">
        <w:instrText xml:space="preserve"> ADDIN ZOTERO_ITEM CSL_CITATION {"citationID":"MICdeCCo","properties":{"formattedCitation":"(Da Rosa {\\i{}et al.}, 2025; Prinsen {\\i{}et al.}, 2018)","plainCitation":"(Da Rosa et al., 2025; Prinsen et al., 2018)","noteIndex":0},"citationItems":[{"id":3678,"uris":["http://zotero.org/users/8796872/items/3IVYMH6X"],"itemData":{"id":3678,"type":"article-journal","abstract":"Background: Evidence supporting the validity of photogrammetry for assessing body segment alignment remains limited, with most studies focusing on spinal evaluation. Thus, there is a lack of robust research examining its use for other body segments such as the lower limbs. Objective: This study aimed to evaluate the concurrent validity of three photogrammetric methods for measuring knee alignment in the sagittal plane with and without corrections for potential rotational deviations in the participant’s thigh and leg. Methods: A total of 21 adults underwent sequential evaluations involving panoramic radiography of the lower limbs and photogrammetry at a private radiology clinic. Photogrammetric analysis involved identifying the following anatomical landmarks: the greater trochanter of the femur (GTF), the lateral condyle of the femur (LCF), the head of the fibula (HF), and lateral malleolus (LM). Three photogrammetric methods were employed: (1) the condylar angle (CA) defined by the GTF, LCF, and LM points; (2) the fibula head angle (FHA) defined by the GTF, HF, and LM points; and (3) the four-point angle (4PA) incorporating the GTF, LCF, HF, and LM. Concurrent validity was assessed using correlation analysis, agreement with radiographic measurements, and the root mean square error (RMSE). Each photogrammetric method was tested using raw (CA, FHA, and 4PA) and corrected (CAcorr, FHAcorr, and 4PAcorr) values, accounting for thigh and/or leg rotational deviations. Results: Correcting for thigh and leg rotations significantly improved the validity metrics for all methods. The best performance was observed with the corrected condylar angle (CAcorr: r = 0.746; adjusted r2 = 0.533; RMSE = 2.9◦) and the corrected four-point angle (4PAcorr: r = 0.733; adjusted r2 = 0.513; RMSE = 3.0◦); however, the measurements presented proportional errors, possible due the method of assessment of rotations. Conclusions: The findings validate the evaluated photogrammetric methods for assessing sagittal knee alignment. Accounting for thigh and leg rotational deviations is critical for achieving accurate measurements, raising the need of accurate tools for measuring rotational changes in the lower limbs to avoid errors.","container-title":"Methods and Protocols","DOI":"10.3390/mps8020041","ISSN":"2409-9279","issue":"2","journalAbbreviation":"MPs","language":"en","license":"https://creativecommons.org/licenses/by/4.0/","page":"41","source":"DOI.org (Crossref)","title":"Concurrent Validity of Three Photogrammetric Methods for Assessing Knee Alignment in Sagittal Plane","volume":"8","author":[{"family":"Da Rosa","given":"Bruna Nichele"},{"family":"Giendruczak","given":"Paula Andryelly Gomes"},{"family":"Frantz","given":"Marina Ziegler"},{"family":"Noll","given":"Matias"},{"family":"Candotti","given":"Cláudia Tarragô"}],"issued":{"date-parts":[["2025",4,14]]}}},{"id":400,"uris":["http://zotero.org/users/8796872/items/P2XXWVMQ"],"itemData":{"id":400,"type":"article-journal","abstract":"Purpose: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A31156">
        <w:fldChar w:fldCharType="separate"/>
      </w:r>
      <w:r w:rsidR="00F83005" w:rsidRPr="00F83005">
        <w:rPr>
          <w:rFonts w:cs="Arial"/>
          <w:kern w:val="0"/>
        </w:rPr>
        <w:t xml:space="preserve">(Da Rosa </w:t>
      </w:r>
      <w:r w:rsidR="00F83005" w:rsidRPr="00F83005">
        <w:rPr>
          <w:rFonts w:cs="Arial"/>
          <w:i/>
          <w:iCs/>
          <w:kern w:val="0"/>
        </w:rPr>
        <w:t>et al.</w:t>
      </w:r>
      <w:r w:rsidR="00F83005" w:rsidRPr="00F83005">
        <w:rPr>
          <w:rFonts w:cs="Arial"/>
          <w:kern w:val="0"/>
        </w:rPr>
        <w:t xml:space="preserve">, 2025; Prinsen </w:t>
      </w:r>
      <w:r w:rsidR="00F83005" w:rsidRPr="00F83005">
        <w:rPr>
          <w:rFonts w:cs="Arial"/>
          <w:i/>
          <w:iCs/>
          <w:kern w:val="0"/>
        </w:rPr>
        <w:t>et al.</w:t>
      </w:r>
      <w:r w:rsidR="00F83005" w:rsidRPr="00F83005">
        <w:rPr>
          <w:rFonts w:cs="Arial"/>
          <w:kern w:val="0"/>
        </w:rPr>
        <w:t>, 2018)</w:t>
      </w:r>
      <w:r w:rsidR="00A31156">
        <w:fldChar w:fldCharType="end"/>
      </w:r>
      <w:r w:rsidRPr="00320814">
        <w:t xml:space="preserve">. Caso os resultados entre os dois sistemas sejam semelhantes, pode-se inferir que ambos medem o mesmo fenômeno. Essa estratégia foi empregada na análise da concordância do BackPEI com o sistema </w:t>
      </w:r>
      <w:proofErr w:type="spellStart"/>
      <w:r w:rsidRPr="00320814">
        <w:t>LADy</w:t>
      </w:r>
      <w:proofErr w:type="spellEnd"/>
      <w:r w:rsidR="00F83005">
        <w:t xml:space="preserve"> </w:t>
      </w:r>
      <w:r w:rsidR="00F83005">
        <w:fldChar w:fldCharType="begin"/>
      </w:r>
      <w:r w:rsidR="00F83005">
        <w:instrText xml:space="preserve"> ADDIN ZOTERO_ITEM CSL_CITATION {"citationID":"HhOUPsY7","properties":{"formattedCitation":"(Antoniolli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F83005">
        <w:fldChar w:fldCharType="separate"/>
      </w:r>
      <w:r w:rsidR="00F83005" w:rsidRPr="00F83005">
        <w:rPr>
          <w:rFonts w:cs="Arial"/>
          <w:kern w:val="0"/>
        </w:rPr>
        <w:t xml:space="preserve">(Antoniolli </w:t>
      </w:r>
      <w:r w:rsidR="00F83005" w:rsidRPr="00F83005">
        <w:rPr>
          <w:rFonts w:cs="Arial"/>
          <w:i/>
          <w:iCs/>
          <w:kern w:val="0"/>
        </w:rPr>
        <w:t>et al.</w:t>
      </w:r>
      <w:r w:rsidR="00F83005" w:rsidRPr="00F83005">
        <w:rPr>
          <w:rFonts w:cs="Arial"/>
          <w:kern w:val="0"/>
        </w:rPr>
        <w:t>, 2015)</w:t>
      </w:r>
      <w:r w:rsidR="00F83005">
        <w:fldChar w:fldCharType="end"/>
      </w:r>
      <w:r w:rsidRPr="00320814">
        <w:t xml:space="preserve">. No entanto, dado que o </w:t>
      </w:r>
      <w:proofErr w:type="spellStart"/>
      <w:r w:rsidRPr="00320814">
        <w:t>LADy</w:t>
      </w:r>
      <w:proofErr w:type="spellEnd"/>
      <w:r w:rsidRPr="00320814">
        <w:t xml:space="preserve"> não é considerado o padrão-ouro na medição dos hábitos posturais, é improvável que esse método seja classificado como validade concorrente.</w:t>
      </w:r>
    </w:p>
    <w:p w14:paraId="5A758F1A" w14:textId="4EDAAA91" w:rsidR="00AD5B1B" w:rsidRPr="00320814" w:rsidRDefault="00AD5B1B" w:rsidP="00AD5B1B">
      <w:r w:rsidRPr="00320814">
        <w:t xml:space="preserve">Em determinados casos, a comparação com um padrão-ouro não é viável, especialmente para sistemas de medição baseados no </w:t>
      </w:r>
      <w:proofErr w:type="spellStart"/>
      <w:r w:rsidRPr="00320814">
        <w:t>auto-relato</w:t>
      </w:r>
      <w:proofErr w:type="spellEnd"/>
      <w:r w:rsidRPr="00320814">
        <w:t xml:space="preserve">, como o BackPEI. Nessas situações, a única maneira de avaliar a validade concorrente é por meio da </w:t>
      </w:r>
      <w:r w:rsidRPr="00320814">
        <w:lastRenderedPageBreak/>
        <w:t>comparação entre a versão curta e a versão longa de um questionário</w:t>
      </w:r>
      <w:r w:rsidR="00F83005">
        <w:fldChar w:fldCharType="begin"/>
      </w:r>
      <w:r w:rsidR="00F83005">
        <w:instrText xml:space="preserve"> ADDIN ZOTERO_ITEM CSL_CITATION {"citationID":"D7xOIGCv","properties":{"formattedCitation":"(Mokkink {\\i{}et al.}, 2019)","plainCitation":"(Mokkink et al., 2019)","noteIndex":0},"citationItems":[{"id":239,"uris":["http://zotero.org/users/8796872/items/7JYPAYX3"],"itemData":{"id":239,"type":"document","language":"en","source":"Zotero","title":"COSMIN Study Design checklist for Patient-reported outcome measurement instruments","author":[{"family":"Mokkink","given":"Lidwine B"},{"family":"Prinsen","given":"Cecilia AC"},{"family":"Patrick","given":"Donald L"},{"family":"Alonso","given":"Jordi"},{"family":"Bouter","given":"Lex M"},{"family":"Vet","given":"Henrica CW","non-dropping-particle":"de"},{"family":"Terwee","given":"Caroline B"}],"issued":{"date-parts":[["2019",6]]}}}],"schema":"https://github.com/citation-style-language/schema/raw/master/csl-citation.json"} </w:instrText>
      </w:r>
      <w:r w:rsidR="00F83005">
        <w:fldChar w:fldCharType="separate"/>
      </w:r>
      <w:r w:rsidR="00F83005" w:rsidRPr="00F83005">
        <w:rPr>
          <w:rFonts w:cs="Arial"/>
          <w:kern w:val="0"/>
        </w:rPr>
        <w:t xml:space="preserve">(Mokkink </w:t>
      </w:r>
      <w:r w:rsidR="00F83005" w:rsidRPr="00F83005">
        <w:rPr>
          <w:rFonts w:cs="Arial"/>
          <w:i/>
          <w:iCs/>
          <w:kern w:val="0"/>
        </w:rPr>
        <w:t>et al.</w:t>
      </w:r>
      <w:r w:rsidR="00F83005" w:rsidRPr="00F83005">
        <w:rPr>
          <w:rFonts w:cs="Arial"/>
          <w:kern w:val="0"/>
        </w:rPr>
        <w:t>, 2019)</w:t>
      </w:r>
      <w:r w:rsidR="00F83005">
        <w:fldChar w:fldCharType="end"/>
      </w:r>
      <w:r w:rsidRPr="00320814">
        <w:t xml:space="preserve">. Assim, a única possibilidade de um sistema de medição baseado em </w:t>
      </w:r>
      <w:proofErr w:type="spellStart"/>
      <w:r w:rsidRPr="00320814">
        <w:t>auto-relato</w:t>
      </w:r>
      <w:proofErr w:type="spellEnd"/>
      <w:r w:rsidRPr="00320814">
        <w:t xml:space="preserve"> ser analisado sob a validade de conteúdo ocorre quando, em decorrência de modificações nos procedimentos, ele apresenta uma vantagem operacional em relação a outro sistema já estabelecido para medir o mesmo conceito.</w:t>
      </w:r>
    </w:p>
    <w:p w14:paraId="6AFFD041" w14:textId="2FC63CD5" w:rsidR="00AD5B1B" w:rsidRPr="00320814" w:rsidRDefault="00AD5B1B" w:rsidP="00AD5B1B">
      <w:r w:rsidRPr="00320814">
        <w:t xml:space="preserve">Outra alternativa metodológica é a validade estrutural, utilizada por </w:t>
      </w:r>
      <w:proofErr w:type="spellStart"/>
      <w:r w:rsidRPr="00320814">
        <w:t>Akbari-Chehrehbargh</w:t>
      </w:r>
      <w:proofErr w:type="spellEnd"/>
      <w:r w:rsidRPr="00320814">
        <w:t xml:space="preserve">, </w:t>
      </w:r>
      <w:proofErr w:type="spellStart"/>
      <w:r w:rsidRPr="00320814">
        <w:t>Tavafian</w:t>
      </w:r>
      <w:proofErr w:type="spellEnd"/>
      <w:r w:rsidRPr="00320814">
        <w:t xml:space="preserve"> e </w:t>
      </w:r>
      <w:proofErr w:type="spellStart"/>
      <w:r w:rsidRPr="00320814">
        <w:t>Montazeri</w:t>
      </w:r>
      <w:proofErr w:type="spellEnd"/>
      <w:r w:rsidR="00F83005">
        <w:t xml:space="preserve"> </w:t>
      </w:r>
      <w:r w:rsidR="00F83005">
        <w:fldChar w:fldCharType="begin"/>
      </w:r>
      <w:r w:rsidR="00F83005">
        <w:instrText xml:space="preserve"> ADDIN ZOTERO_ITEM CSL_CITATION {"citationID":"y7Jw4Wgh","properties":{"formattedCitation":"(2020)","plainCitation":"(2020)","noteIndex":0},"citationItems":[{"id":2233,"uris":["http://zotero.org/groups/5422192/items/UK6UTSIQ"],"itemData":{"id":2233,"type":"article-journal","abstract":"Background: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F83005">
        <w:fldChar w:fldCharType="separate"/>
      </w:r>
      <w:r w:rsidR="00F83005" w:rsidRPr="00F83005">
        <w:rPr>
          <w:rFonts w:cs="Arial"/>
        </w:rPr>
        <w:t>(2020)</w:t>
      </w:r>
      <w:r w:rsidR="00F83005">
        <w:fldChar w:fldCharType="end"/>
      </w:r>
      <w:r w:rsidRPr="00320814">
        <w:t>. Nesse método, os itens de um instrumento são agrupados com base em sua similaridade</w:t>
      </w:r>
      <w:r>
        <w:t xml:space="preserve"> a partir de relações</w:t>
      </w:r>
      <w:r w:rsidRPr="00320814">
        <w:t xml:space="preserve"> estatístic</w:t>
      </w:r>
      <w:r w:rsidR="00F83005">
        <w:t>a</w:t>
      </w:r>
      <w:r w:rsidRPr="00320814">
        <w:t>s</w:t>
      </w:r>
      <w:r w:rsidR="00F83005">
        <w:t xml:space="preserve"> </w:t>
      </w:r>
      <w:r w:rsidR="00AE4E43">
        <w:fldChar w:fldCharType="begin"/>
      </w:r>
      <w:r w:rsidR="008F56C7">
        <w:instrText xml:space="preserve"> ADDIN ZOTERO_ITEM CSL_CITATION {"citationID":"tM66TXlq","properties":{"formattedCitation":"(Prinsen {\\i{}et al.}, 2018; Urbina, 2007)","plainCitation":"(Prinsen et al., 2018; Urbina, 2007)","noteIndex":0},"citationItems":[{"id":400,"uris":["http://zotero.org/users/8796872/items/P2XXWVMQ"],"itemData":{"id":400,"type":"article-journal","abstract":"Purpose: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B."}],"issued":{"date-parts":[["2018"]]}}},{"id":3680,"uris":["http://zotero.org/users/8796872/items/5RXK6EQM"],"itemData":{"id":3680,"type":"book","event-place":"São Paulo","ISBN":"978-85-363-0747-3","language":"pt-BR","number-of-pages":"299","publisher":"Artmed","publisher-place":"São Paulo","source":"Câmara Brasileira do Livro ISBN","title":"Fundamentos Da Testagem Psicológica","author":[{"family":"Urbina","given":"Susana"}],"issued":{"date-parts":[["2007"]]}}}],"schema":"https://github.com/citation-style-language/schema/raw/master/csl-citation.json"} </w:instrText>
      </w:r>
      <w:r w:rsidR="00AE4E43">
        <w:fldChar w:fldCharType="separate"/>
      </w:r>
      <w:r w:rsidR="008F56C7" w:rsidRPr="008F56C7">
        <w:rPr>
          <w:rFonts w:cs="Arial"/>
          <w:kern w:val="0"/>
        </w:rPr>
        <w:t xml:space="preserve">(Prinsen </w:t>
      </w:r>
      <w:r w:rsidR="008F56C7" w:rsidRPr="008F56C7">
        <w:rPr>
          <w:rFonts w:cs="Arial"/>
          <w:i/>
          <w:iCs/>
          <w:kern w:val="0"/>
        </w:rPr>
        <w:t>et al.</w:t>
      </w:r>
      <w:r w:rsidR="008F56C7" w:rsidRPr="008F56C7">
        <w:rPr>
          <w:rFonts w:cs="Arial"/>
          <w:kern w:val="0"/>
        </w:rPr>
        <w:t>, 2018; Urbina, 2007)</w:t>
      </w:r>
      <w:r w:rsidR="00AE4E43">
        <w:fldChar w:fldCharType="end"/>
      </w:r>
      <w:r w:rsidRPr="00320814">
        <w:t>. Esse agrupamento pode corroborar a caracterização ao refletir previsões teóricas previamente estabelecidas ou pode contribuir para o avanço da caracterização ao permitir que os autores interpretem os conceitos correspondentes aos conjuntos de itens de um questionário.</w:t>
      </w:r>
    </w:p>
    <w:p w14:paraId="5EB3E19B" w14:textId="21869DBB" w:rsidR="00AD5B1B" w:rsidRPr="00320814" w:rsidRDefault="00AD5B1B" w:rsidP="00AD5B1B">
      <w:r w:rsidRPr="00320814">
        <w:t xml:space="preserve">Outra abordagem para a avaliação científica da caracterização envolve a associação com conceitos distintos do que é medido pelo sistema de medição. Essa estratégia foi utilizada por </w:t>
      </w:r>
      <w:proofErr w:type="spellStart"/>
      <w:r w:rsidRPr="00320814">
        <w:t>Gökşen</w:t>
      </w:r>
      <w:proofErr w:type="spellEnd"/>
      <w:r w:rsidRPr="00320814">
        <w:t xml:space="preserve">, </w:t>
      </w:r>
      <w:proofErr w:type="spellStart"/>
      <w:r w:rsidRPr="00320814">
        <w:t>Kocaman</w:t>
      </w:r>
      <w:proofErr w:type="spellEnd"/>
      <w:r w:rsidRPr="00320814">
        <w:t xml:space="preserve"> e </w:t>
      </w:r>
      <w:proofErr w:type="spellStart"/>
      <w:r w:rsidRPr="00320814">
        <w:t>Yildirim</w:t>
      </w:r>
      <w:proofErr w:type="spellEnd"/>
      <w:r w:rsidRPr="00320814">
        <w:t xml:space="preserve"> (2023) ao investigar a correlação entre o BackPEI e o MHQ. Embora esses instrumentos não mensurem exatamente os mesmos conceitos, apresentam certa similaridade. Ao avaliar a correlação entre ambos, espera-se um coeficiente moderado, o que pode indicar correspondência entre a medição realizada pelo sistema e a caracterização do conceito</w:t>
      </w:r>
      <w:r w:rsidR="008F56C7">
        <w:t xml:space="preserve"> </w:t>
      </w:r>
      <w:r w:rsidR="008F56C7">
        <w:fldChar w:fldCharType="begin"/>
      </w:r>
      <w:r w:rsidR="008F56C7">
        <w:instrText xml:space="preserve"> ADDIN ZOTERO_ITEM CSL_CITATION {"citationID":"2aE5bubU","properties":{"formattedCitation":"(Mokkink,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xml:space="preserve">. Métodos como esse, a análise da relação entre o conceito medido e outros conceitos, e a validade estrutural, representam alternativas eficazes para </w:t>
      </w:r>
      <w:r>
        <w:t>avaliar</w:t>
      </w:r>
      <w:r w:rsidRPr="00320814">
        <w:t xml:space="preserve"> a caracterização de um sistema de medição.</w:t>
      </w:r>
    </w:p>
    <w:p w14:paraId="35E2CFF3" w14:textId="77777777" w:rsidR="00AD5B1B" w:rsidRPr="00320814" w:rsidRDefault="00AD5B1B" w:rsidP="00AD5B1B">
      <w:r w:rsidRPr="00320814">
        <w:t>Nesse sentido, também se destaca a importância de apresentar aos painéis de especialistas a caracterização do conceito medido, permitindo que avaliem sua correspondência com o sistema de medição. Essas possíveis soluções convergem para uma necessidade comum: um maior esforço, por parte dos pesquisadores da clinimetria, na fundamentação teórica da caracterização. Esse aprimoramento pode ocorrer por meio da explicitação de definições, delimitação das relações entre conceitos ou da demonstração de como os itens de um questionário refletem a caracterização do conceito analisado.</w:t>
      </w:r>
    </w:p>
    <w:p w14:paraId="5950728B" w14:textId="39AE300D" w:rsidR="00AD5B1B" w:rsidRPr="00320814" w:rsidRDefault="00AD5B1B" w:rsidP="00AD5B1B">
      <w:r w:rsidRPr="00320814">
        <w:t>Observa-se, ainda, uma</w:t>
      </w:r>
      <w:r>
        <w:t xml:space="preserve"> certa</w:t>
      </w:r>
      <w:r w:rsidRPr="00320814">
        <w:t xml:space="preserve"> correspondência entre os métodos de validade e caracterização, enquanto os métodos de confiabilidade mantêm relação direta com os procedimentos. Dessa forma, a abordagem tradicional na clinimetria, que avalia a </w:t>
      </w:r>
      <w:r w:rsidRPr="00320814">
        <w:lastRenderedPageBreak/>
        <w:t>validade e a confiabilidade de um sistema de medição, permite a análise conjunta da caracterização e dos procedimentos. No entanto, essa relação não é absoluta. Como exemplificado, a validade de conteúdo pode ser conduzida de forma a avaliar os procedimentos. Além disso, as avaliações qualitativas da compreensão dos questionários, que também analisam os procedimentos, foram classificadas como</w:t>
      </w:r>
      <w:r>
        <w:t xml:space="preserve"> um método de validade por uma fonte, a</w:t>
      </w:r>
      <w:r w:rsidRPr="00320814">
        <w:t xml:space="preserve"> validade de face</w:t>
      </w:r>
      <w:r w:rsidR="008F56C7">
        <w:t xml:space="preserve"> </w:t>
      </w:r>
      <w:r w:rsidR="008F56C7">
        <w:fldChar w:fldCharType="begin"/>
      </w:r>
      <w:r w:rsidR="008F56C7">
        <w:instrText xml:space="preserve"> ADDIN ZOTERO_ITEM CSL_CITATION {"citationID":"hJCJvaYZ","properties":{"formattedCitation":"(Akbari-Chehrehbargh;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8F56C7">
        <w:fldChar w:fldCharType="separate"/>
      </w:r>
      <w:r w:rsidR="008F56C7" w:rsidRPr="008F56C7">
        <w:rPr>
          <w:rFonts w:cs="Arial"/>
        </w:rPr>
        <w:t>(Akbari-Chehrehbargh; Tavafian; Montazeri, 2020)</w:t>
      </w:r>
      <w:r w:rsidR="008F56C7">
        <w:fldChar w:fldCharType="end"/>
      </w:r>
      <w:r w:rsidRPr="00320814">
        <w:t>.</w:t>
      </w:r>
    </w:p>
    <w:p w14:paraId="7E473375" w14:textId="5E1345ED" w:rsidR="00AD5B1B" w:rsidRPr="00320814" w:rsidRDefault="00AD5B1B" w:rsidP="00AD5B1B">
      <w:r w:rsidRPr="00320814">
        <w:t xml:space="preserve">Outro exemplo relevante é a avaliação dos itens de um instrumento por meio do alfa de </w:t>
      </w:r>
      <w:proofErr w:type="spellStart"/>
      <w:r w:rsidRPr="00320814">
        <w:t>Cronbach</w:t>
      </w:r>
      <w:proofErr w:type="spellEnd"/>
      <w:r w:rsidRPr="00320814">
        <w:t>. Algumas fontes consider</w:t>
      </w:r>
      <w:r w:rsidR="008F56C7">
        <w:t>ar</w:t>
      </w:r>
      <w:r w:rsidRPr="00320814">
        <w:t>am essa análise estatística parte da confiabilidade</w:t>
      </w:r>
      <w:r w:rsidR="008F56C7">
        <w:t xml:space="preserve"> </w:t>
      </w:r>
      <w:r w:rsidR="008F56C7">
        <w:fldChar w:fldCharType="begin"/>
      </w:r>
      <w:r w:rsidR="008F56C7">
        <w:instrText xml:space="preserve"> ADDIN ZOTERO_ITEM CSL_CITATION {"citationID":"orRE94zw","properties":{"formattedCitation":"(Akbari-Chehrehbargh;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8F56C7">
        <w:fldChar w:fldCharType="separate"/>
      </w:r>
      <w:r w:rsidR="008F56C7" w:rsidRPr="008F56C7">
        <w:rPr>
          <w:rFonts w:cs="Arial"/>
          <w:kern w:val="0"/>
        </w:rPr>
        <w:t>(Akbari-Chehrehbargh; Tavafian; Montazeri, 2020; Gençbaş; Bebiş, 2019)</w:t>
      </w:r>
      <w:r w:rsidR="008F56C7">
        <w:fldChar w:fldCharType="end"/>
      </w:r>
      <w:r w:rsidRPr="00320814">
        <w:t>. No entanto, trata-se de uma medida relacionada à validade estrutural, pois indica o grau de correlação entre os itens de um instrumento, refletindo sua consistência interna</w:t>
      </w:r>
      <w:r w:rsidR="008F56C7">
        <w:t xml:space="preserve"> </w:t>
      </w:r>
      <w:r w:rsidR="008F56C7">
        <w:fldChar w:fldCharType="begin"/>
      </w:r>
      <w:r w:rsidR="008F56C7">
        <w:instrText xml:space="preserve"> ADDIN ZOTERO_ITEM CSL_CITATION {"citationID":"ussa6xrc","properties":{"formattedCitation":"(Mokkink,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Essa correlação sugere a presença de um elemento subjacente compartilhado por todos os itens</w:t>
      </w:r>
      <w:r>
        <w:t xml:space="preserve">, </w:t>
      </w:r>
      <w:r w:rsidRPr="00320814">
        <w:t xml:space="preserve">o conceito </w:t>
      </w:r>
      <w:r>
        <w:t>sendo medido</w:t>
      </w:r>
      <w:r w:rsidR="008F56C7">
        <w:t xml:space="preserve"> </w:t>
      </w:r>
      <w:r w:rsidR="008F56C7">
        <w:fldChar w:fldCharType="begin"/>
      </w:r>
      <w:r w:rsidR="008F56C7">
        <w:instrText xml:space="preserve"> ADDIN ZOTERO_ITEM CSL_CITATION {"citationID":"hJm6Rsh9","properties":{"formattedCitation":"(Cronbach, 1951)","plainCitation":"(Cronbach, 1951)","noteIndex":0},"citationItems":[{"id":5,"uris":["http://zotero.org/users/8796872/items/36MATAQI"],"itemData":{"id":5,"type":"article-journal","container-title":"Psychometrika","issue":"3","language":"en","page":"297-334","source":"Zotero","title":"Coefficient alpha and the internal structure of tests","volume":"16","author":[{"family":"Cronbach","given":"Lf J"}],"issued":{"date-parts":[["1951"]]}}}],"schema":"https://github.com/citation-style-language/schema/raw/master/csl-citation.json"} </w:instrText>
      </w:r>
      <w:r w:rsidR="008F56C7">
        <w:fldChar w:fldCharType="separate"/>
      </w:r>
      <w:r w:rsidR="008F56C7" w:rsidRPr="008F56C7">
        <w:rPr>
          <w:rFonts w:cs="Arial"/>
        </w:rPr>
        <w:t>(Cronbach, 1951)</w:t>
      </w:r>
      <w:r w:rsidR="008F56C7">
        <w:fldChar w:fldCharType="end"/>
      </w:r>
      <w:r w:rsidRPr="00320814">
        <w:t xml:space="preserve">. Assim, embora o alfa de </w:t>
      </w:r>
      <w:proofErr w:type="spellStart"/>
      <w:r w:rsidRPr="00320814">
        <w:t>Cronbach</w:t>
      </w:r>
      <w:proofErr w:type="spellEnd"/>
      <w:r w:rsidRPr="00320814">
        <w:t xml:space="preserve"> e outras </w:t>
      </w:r>
      <w:r>
        <w:t>medidas</w:t>
      </w:r>
      <w:r w:rsidRPr="00320814">
        <w:t xml:space="preserve"> de consistência interna sejam frequentemente categorizadas como medidas de confiabilidade, sua aplicação está mais diretamente associada à caracterização de um conceito em um sistema de medição.</w:t>
      </w:r>
    </w:p>
    <w:p w14:paraId="3E59E2D1" w14:textId="66DED463" w:rsidR="00AD5B1B" w:rsidRPr="00F24029" w:rsidRDefault="00AD5B1B" w:rsidP="00AD5B1B">
      <w:r w:rsidRPr="00F24029">
        <w:t>A representação é o elemento da estrutura epistemológica menos abordado entre as fontes analisadas. Em geral, as escalas adotadas são arbitrárias, sem a</w:t>
      </w:r>
      <w:r>
        <w:t xml:space="preserve"> apresentação da de</w:t>
      </w:r>
      <w:r w:rsidRPr="00F24029">
        <w:t xml:space="preserve">vida correspondência entre os valores e os conceitos medidos. Além disso, não há uma explicitação clara do tipo de escala utilizada, </w:t>
      </w:r>
      <w:r>
        <w:t>e a</w:t>
      </w:r>
      <w:r w:rsidRPr="00F24029">
        <w:t xml:space="preserve"> avaliação científica da representação</w:t>
      </w:r>
      <w:r>
        <w:t xml:space="preserve"> foi feita por apenas um</w:t>
      </w:r>
      <w:r w:rsidR="008F56C7">
        <w:t>a</w:t>
      </w:r>
      <w:r>
        <w:t xml:space="preserve"> fonte</w:t>
      </w:r>
      <w:r w:rsidR="008F56C7">
        <w:t xml:space="preserve"> </w:t>
      </w:r>
      <w:r w:rsidR="008F56C7">
        <w:fldChar w:fldCharType="begin"/>
      </w:r>
      <w:r w:rsidR="008F56C7">
        <w:instrText xml:space="preserve"> ADDIN ZOTERO_ITEM CSL_CITATION {"citationID":"4nBungO2","properties":{"formattedCitation":"(G\\uc0\\u246{}k\\uc0\\u351{}en;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8F56C7">
        <w:fldChar w:fldCharType="separate"/>
      </w:r>
      <w:r w:rsidR="008F56C7" w:rsidRPr="008F56C7">
        <w:rPr>
          <w:rFonts w:cs="Arial"/>
          <w:kern w:val="0"/>
        </w:rPr>
        <w:t>(Gökşen; Kocaman; Yıldırım, 2023)</w:t>
      </w:r>
      <w:r w:rsidR="008F56C7">
        <w:fldChar w:fldCharType="end"/>
      </w:r>
      <w:r w:rsidRPr="00F24029">
        <w:t>. Uma caracterização mais detalhada do conceito pode contribuir significativamente para esse aspecto, ao esclarecer sua composição e possibilitar o estabelecimento de correspondências entre os valores da escala e as propriedades do conceito.</w:t>
      </w:r>
    </w:p>
    <w:p w14:paraId="195F4EAF" w14:textId="6E0785A5" w:rsidR="00AD5B1B" w:rsidRPr="00F24029" w:rsidRDefault="00AD5B1B" w:rsidP="00AD5B1B">
      <w:r w:rsidRPr="00F24029">
        <w:t xml:space="preserve">A dor, por exemplo, é uma percepção subjetiva. Uma caracterização mais aprofundada da dor permitiria esclarecer as razões para a existência de limites inferior e superior </w:t>
      </w:r>
      <w:r>
        <w:t xml:space="preserve">na representação </w:t>
      </w:r>
      <w:r w:rsidRPr="00F24029">
        <w:t>e sua relação com a capacidade d</w:t>
      </w:r>
      <w:r>
        <w:t>os avaliados em</w:t>
      </w:r>
      <w:r w:rsidRPr="00F24029">
        <w:t xml:space="preserve"> </w:t>
      </w:r>
      <w:r>
        <w:t xml:space="preserve">imaginar </w:t>
      </w:r>
      <w:r w:rsidRPr="00F24029">
        <w:t>a dor em diferentes graus. Além disso, poderia gerar hipóteses sobre o comportamento da escala.</w:t>
      </w:r>
    </w:p>
    <w:p w14:paraId="785A527B" w14:textId="77777777" w:rsidR="00AD5B1B" w:rsidRPr="00F24029" w:rsidRDefault="00AD5B1B" w:rsidP="00AD5B1B">
      <w:r w:rsidRPr="00F24029">
        <w:t xml:space="preserve">Outro benefício de uma caracterização mais </w:t>
      </w:r>
      <w:r>
        <w:t>objetiva</w:t>
      </w:r>
      <w:r w:rsidRPr="00F24029">
        <w:t xml:space="preserve"> seria a melhor demonstração da correspondência entre o comprimento da escala e a percepção da </w:t>
      </w:r>
      <w:r w:rsidRPr="00F24029">
        <w:lastRenderedPageBreak/>
        <w:t>dor, fator fundamental para determinar seu tipo. A utilização de uma escala racional não implica, necessariamente, que sua aplicação na mensuração da dor gere uma escala racional para a intensidade da dor. Ainda que 4 cm seja metade do comprimento de 8 cm, não é evidente que uma dor de 4 cm seja, de fato, metade de uma dor de 8 cm.</w:t>
      </w:r>
    </w:p>
    <w:p w14:paraId="3C1B40C1" w14:textId="6E016586" w:rsidR="00AD5B1B" w:rsidRPr="00B657BA" w:rsidRDefault="00AD5B1B" w:rsidP="00AD5B1B">
      <w:r w:rsidRPr="00B657BA">
        <w:t>Na ciência da medição, frequentemente um fenômeno é utilizado para quantificar outro. Termômetros do tipo termopar, por exemplo, medem a temperatura a partir da diferença de potencial elétrico. No entanto, essa relação não é linear, pois a temperatura não é diretamente medida em volts, e não há uma correspondência direta, como 1 volt equivalente a 1 Kelvin. A conversão dos valores requer a aplicação de uma equação polinomial, e, nesse processo, as relações entre as diferenças de potencial não se mantêm quando os valores são transformados em temperatura</w:t>
      </w:r>
      <w:r w:rsidR="00640B09">
        <w:t xml:space="preserve"> </w:t>
      </w:r>
      <w:r w:rsidR="00640B09">
        <w:fldChar w:fldCharType="begin"/>
      </w:r>
      <w:r w:rsidR="00640B09">
        <w:instrText xml:space="preserve"> ADDIN ZOTERO_ITEM CSL_CITATION {"citationID":"QH2ts34f","properties":{"formattedCitation":"(Webster; Nimunkar, 2020)","plainCitation":"(Webster; Nimunkar, 2020)","noteIndex":0},"citationItems":[{"id":3682,"uris":["http://zotero.org/users/8796872/items/F6EYWRWD"],"itemData":{"id":3682,"type":"book","edition":"5","event-place":"Hoboken","ISBN":"978-1-119-45732-9","language":"en","number-of-pages":"898","publisher":"Wiley","publisher-place":"Hoboken","source":"Zotero","title":"Medical instrumentation: application and design","author":[{"family":"Webster","given":"John G"},{"family":"Nimunkar","given":"Amit J"}],"issued":{"date-parts":[["2020"]]}}}],"schema":"https://github.com/citation-style-language/schema/raw/master/csl-citation.json"} </w:instrText>
      </w:r>
      <w:r w:rsidR="00640B09">
        <w:fldChar w:fldCharType="separate"/>
      </w:r>
      <w:r w:rsidR="00640B09" w:rsidRPr="00640B09">
        <w:rPr>
          <w:rFonts w:cs="Arial"/>
        </w:rPr>
        <w:t>(Webster; Nimunkar, 2020)</w:t>
      </w:r>
      <w:r w:rsidR="00640B09">
        <w:fldChar w:fldCharType="end"/>
      </w:r>
      <w:r w:rsidRPr="00B657BA">
        <w:t>. Embora a diferença de potencial seja mensurada em volts—o que corresponde a uma escala racional—sua conversão para °C não implica que a escala de temperatura adotada seja intervalar. Dessa forma, a utilização de uma escala racional para mensurar um efeito relacionado ao conceito avaliado não garante que os valores dessa escala representem com exatidão as magnitudes do conceito em análise.</w:t>
      </w:r>
    </w:p>
    <w:p w14:paraId="7C90008E" w14:textId="75F2009A" w:rsidR="00AD5B1B" w:rsidRPr="00B657BA" w:rsidRDefault="00AD5B1B" w:rsidP="00AD5B1B">
      <w:r w:rsidRPr="00B657BA">
        <w:t>A definição do tipo de escala é um aspecto fundamental, pois determina quais testes estatísticos podem ser aplicados nas pesquisas que utilizam o sistema de medição. Variáveis nominais e ordinais, por exemplo, não permitem o emprego de testes paramétricos, amplamente valorizados na ciência da saúde por possibilitarem, ou ao menos tornarem mais acessíveis, o cálculo do poder estatístico, a estimativa do tamanho da amostra e a determinação do tamanho do efeito</w:t>
      </w:r>
      <w:r w:rsidR="00640B09">
        <w:t xml:space="preserve"> </w:t>
      </w:r>
      <w:r w:rsidR="00640B09">
        <w:fldChar w:fldCharType="begin"/>
      </w:r>
      <w:r w:rsidR="00640B09">
        <w:instrText xml:space="preserve"> ADDIN ZOTERO_ITEM CSL_CITATION {"citationID":"fIoZNjkX","properties":{"formattedCitation":"(Field, 2009)","plainCitation":"(Field, 2009)","noteIndex":0},"citationItems":[{"id":120,"uris":["http://zotero.org/users/8796872/items/DVIPDU5A"],"itemData":{"id":120,"type":"book","edition":"2","event-place":"Porto Alegre","ISBN":"978-85-363-2018-2","language":"Português","number-of-pages":"688","publisher":"Artmed","publisher-place":"Porto Alegre","title":"Descobrindo a estatística usando o SPSS","author":[{"family":"Field","given":"Andy"}],"issued":{"date-parts":[["2009"]]}}}],"schema":"https://github.com/citation-style-language/schema/raw/master/csl-citation.json"} </w:instrText>
      </w:r>
      <w:r w:rsidR="00640B09">
        <w:fldChar w:fldCharType="separate"/>
      </w:r>
      <w:r w:rsidR="00640B09" w:rsidRPr="00640B09">
        <w:rPr>
          <w:rFonts w:cs="Arial"/>
        </w:rPr>
        <w:t>(Field, 2009)</w:t>
      </w:r>
      <w:r w:rsidR="00640B09">
        <w:fldChar w:fldCharType="end"/>
      </w:r>
      <w:r w:rsidRPr="00B657BA">
        <w:t>.</w:t>
      </w:r>
    </w:p>
    <w:p w14:paraId="3B723CA0" w14:textId="48871422" w:rsidR="00AD5B1B" w:rsidRPr="0074233B" w:rsidRDefault="00AD5B1B" w:rsidP="00AD5B1B">
      <w:r w:rsidRPr="0074233B">
        <w:t xml:space="preserve">Nesta revisão, </w:t>
      </w:r>
      <w:r>
        <w:t>o principal indicativo do tipo de escala fo</w:t>
      </w:r>
      <w:r w:rsidR="00640B09">
        <w:t xml:space="preserve">ram </w:t>
      </w:r>
      <w:r>
        <w:t xml:space="preserve">as </w:t>
      </w:r>
      <w:r w:rsidRPr="0074233B">
        <w:t>análises estatísticas empregadas</w:t>
      </w:r>
      <w:r>
        <w:t xml:space="preserve"> pelas fontes</w:t>
      </w:r>
      <w:r w:rsidRPr="0074233B">
        <w:t>. Assim, as escalas utilizadas para a representação da intensidade da dor são frequentemente tratadas</w:t>
      </w:r>
      <w:r>
        <w:t xml:space="preserve"> pelas fontes</w:t>
      </w:r>
      <w:r w:rsidRPr="0074233B">
        <w:t xml:space="preserve"> como racionais ou intervalares, uma vez que são avaliadas por meio do coeficiente de correlação intraclasse (ICC)</w:t>
      </w:r>
      <w:r w:rsidR="00640B09">
        <w:t xml:space="preserve"> </w:t>
      </w:r>
      <w:r w:rsidR="00640B09">
        <w:fldChar w:fldCharType="begin"/>
      </w:r>
      <w:r w:rsidR="000006C0">
        <w:instrText xml:space="preserve"> ADDIN ZOTERO_ITEM CSL_CITATION {"citationID":"ONY7h9o3","properties":{"formattedCitation":"(Candotti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640B09">
        <w:fldChar w:fldCharType="separate"/>
      </w:r>
      <w:r w:rsidR="000006C0" w:rsidRPr="000006C0">
        <w:rPr>
          <w:rFonts w:cs="Arial"/>
          <w:kern w:val="0"/>
        </w:rPr>
        <w:t xml:space="preserve">(Candotti </w:t>
      </w:r>
      <w:r w:rsidR="000006C0" w:rsidRPr="000006C0">
        <w:rPr>
          <w:rFonts w:cs="Arial"/>
          <w:i/>
          <w:iCs/>
          <w:kern w:val="0"/>
        </w:rPr>
        <w:t>et al.</w:t>
      </w:r>
      <w:r w:rsidR="000006C0" w:rsidRPr="000006C0">
        <w:rPr>
          <w:rFonts w:cs="Arial"/>
          <w:kern w:val="0"/>
        </w:rPr>
        <w:t xml:space="preserve">, 2018, 2023; Da Rosa </w:t>
      </w:r>
      <w:r w:rsidR="000006C0" w:rsidRPr="000006C0">
        <w:rPr>
          <w:rFonts w:cs="Arial"/>
          <w:i/>
          <w:iCs/>
          <w:kern w:val="0"/>
        </w:rPr>
        <w:t>et al.</w:t>
      </w:r>
      <w:r w:rsidR="000006C0" w:rsidRPr="000006C0">
        <w:rPr>
          <w:rFonts w:cs="Arial"/>
          <w:kern w:val="0"/>
        </w:rPr>
        <w:t xml:space="preserve">, 2022; Gökşen; Kocaman; Yıldırım, 2023; Miñana-Signes </w:t>
      </w:r>
      <w:r w:rsidR="000006C0" w:rsidRPr="000006C0">
        <w:rPr>
          <w:rFonts w:cs="Arial"/>
          <w:i/>
          <w:iCs/>
          <w:kern w:val="0"/>
        </w:rPr>
        <w:t>et al.</w:t>
      </w:r>
      <w:r w:rsidR="000006C0" w:rsidRPr="000006C0">
        <w:rPr>
          <w:rFonts w:cs="Arial"/>
          <w:kern w:val="0"/>
        </w:rPr>
        <w:t xml:space="preserve">, 2021; Noll </w:t>
      </w:r>
      <w:r w:rsidR="000006C0" w:rsidRPr="000006C0">
        <w:rPr>
          <w:rFonts w:cs="Arial"/>
          <w:i/>
          <w:iCs/>
          <w:kern w:val="0"/>
        </w:rPr>
        <w:t>et al.</w:t>
      </w:r>
      <w:r w:rsidR="000006C0" w:rsidRPr="000006C0">
        <w:rPr>
          <w:rFonts w:cs="Arial"/>
          <w:kern w:val="0"/>
        </w:rPr>
        <w:t>, 2013a)</w:t>
      </w:r>
      <w:r w:rsidR="00640B09">
        <w:fldChar w:fldCharType="end"/>
      </w:r>
      <w:r w:rsidRPr="0074233B">
        <w:t xml:space="preserve">. No entanto, como já discutido, essa classificação não é evidente. Também não se deve incorrer no erro de descartar a escala até que toda a relação entre dor e comprimento seja plenamente estabelecida, sob o risco de enfrentar o problema da medição </w:t>
      </w:r>
      <w:proofErr w:type="spellStart"/>
      <w:r w:rsidRPr="0074233B">
        <w:t>nômica</w:t>
      </w:r>
      <w:proofErr w:type="spellEnd"/>
      <w:r w:rsidR="000006C0">
        <w:t xml:space="preserve"> </w:t>
      </w:r>
      <w:r w:rsidR="000006C0">
        <w:fldChar w:fldCharType="begin"/>
      </w:r>
      <w:r w:rsidR="000006C0">
        <w:instrText xml:space="preserve"> ADDIN ZOTERO_ITEM CSL_CITATION {"citationID":"i1rw6ToL","properties":{"formattedCitation":"(Chang,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rsidR="000006C0">
        <w:fldChar w:fldCharType="separate"/>
      </w:r>
      <w:r w:rsidR="000006C0" w:rsidRPr="000006C0">
        <w:rPr>
          <w:rFonts w:cs="Arial"/>
        </w:rPr>
        <w:t>(Chang, 2004)</w:t>
      </w:r>
      <w:r w:rsidR="000006C0">
        <w:fldChar w:fldCharType="end"/>
      </w:r>
      <w:r w:rsidRPr="0074233B">
        <w:t xml:space="preserve">. É fundamental, contudo, buscar a compreensão dessa relação e </w:t>
      </w:r>
      <w:r w:rsidRPr="0074233B">
        <w:lastRenderedPageBreak/>
        <w:t>adotar certa cautela na interpretação dos resultados de pesquisas que medem a intensidade da dor.</w:t>
      </w:r>
    </w:p>
    <w:p w14:paraId="288C957A" w14:textId="1DD50501" w:rsidR="00AD5B1B" w:rsidRPr="0074233B" w:rsidRDefault="00AD5B1B" w:rsidP="00AD5B1B">
      <w:r w:rsidRPr="0074233B">
        <w:t xml:space="preserve">O mesmo se aplica à pontuação do BackPEI, </w:t>
      </w:r>
      <w:r>
        <w:t>algumas vezes</w:t>
      </w:r>
      <w:r w:rsidRPr="0074233B">
        <w:t xml:space="preserve"> considerada uma variável intervalar ou racional, pois também foi avaliada pelo ICC</w:t>
      </w:r>
      <w:r w:rsidR="000006C0">
        <w:t xml:space="preserve"> </w:t>
      </w:r>
      <w:r w:rsidR="000006C0">
        <w:fldChar w:fldCharType="begin"/>
      </w:r>
      <w:r w:rsidR="000006C0">
        <w:instrText xml:space="preserve"> ADDIN ZOTERO_ITEM CSL_CITATION {"citationID":"m7JFXnCE","properties":{"formattedCitation":"(G\\uc0\\u246{}k\\uc0\\u351{}en;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0006C0">
        <w:fldChar w:fldCharType="separate"/>
      </w:r>
      <w:r w:rsidR="000006C0" w:rsidRPr="000006C0">
        <w:rPr>
          <w:rFonts w:cs="Arial"/>
          <w:kern w:val="0"/>
        </w:rPr>
        <w:t>(Gökşen; Kocaman; Yıldırım, 2023)</w:t>
      </w:r>
      <w:r w:rsidR="000006C0">
        <w:fldChar w:fldCharType="end"/>
      </w:r>
      <w:r w:rsidRPr="0074233B">
        <w:t xml:space="preserve">. No entanto, como o sistema atribui pesos iguais a todos os fatores de risco, ele só pode corresponder a uma escala </w:t>
      </w:r>
      <w:r>
        <w:t>racional</w:t>
      </w:r>
      <w:r w:rsidRPr="0074233B">
        <w:t xml:space="preserve"> se o impacto de cada fator no risco de dor nas costas e no pescoço for exatamente o mesmo e se a inter-relação entre todos os fatores for homogênea</w:t>
      </w:r>
      <w:r>
        <w:t xml:space="preserve">, </w:t>
      </w:r>
      <w:r w:rsidRPr="0074233B">
        <w:t>o que não é corroborado pelas revisões de literatura utilizadas no desenvolvimento do BackPEI.</w:t>
      </w:r>
    </w:p>
    <w:p w14:paraId="4D8C109D" w14:textId="60BBA24E" w:rsidR="00DA5B6D" w:rsidRDefault="00DA5B6D" w:rsidP="00AD5B1B">
      <w:r w:rsidRPr="00DA5B6D">
        <w:t xml:space="preserve">Além disso, a correspondência entre o conceito e sua representação </w:t>
      </w:r>
      <w:r>
        <w:t>através da</w:t>
      </w:r>
      <w:r w:rsidRPr="00DA5B6D">
        <w:t xml:space="preserve"> escala adotada é um aspecto fundamental. Embora o BackPEI seja um sistema de medição de fatores de risco para dor nas costas e no pescoço, sua pontuação segue uma escala inversa à exposição aos fatores de risco, o que pode dificultar a interpretação dos resultados, ainda que não comprometa sua aplicação. Para facilitar a compreensão, é desejável que a representação </w:t>
      </w:r>
      <w:r>
        <w:t>corresponda</w:t>
      </w:r>
      <w:r w:rsidRPr="00DA5B6D">
        <w:t xml:space="preserve"> ao conceito mensurado, e futuras versões do sistema de pontuação</w:t>
      </w:r>
      <w:r>
        <w:t>, inclusive do BackPEI,</w:t>
      </w:r>
      <w:r w:rsidRPr="00DA5B6D">
        <w:t xml:space="preserve"> podem </w:t>
      </w:r>
      <w:r>
        <w:t>se beneficiar em considerar essa correspondência.</w:t>
      </w:r>
    </w:p>
    <w:p w14:paraId="5C1E981D" w14:textId="06577081" w:rsidR="00AD5B1B" w:rsidRDefault="00AD5B1B" w:rsidP="00AD5B1B">
      <w:r>
        <w:t>Algumas</w:t>
      </w:r>
      <w:r w:rsidRPr="0074233B">
        <w:t xml:space="preserve"> análises estatísticas podem ser empregadas na avaliação</w:t>
      </w:r>
      <w:r>
        <w:t xml:space="preserve"> científica da representação</w:t>
      </w:r>
      <w:r w:rsidRPr="0074233B">
        <w:t xml:space="preserve">, especialmente ao se verificar a correspondência entre as previsões teóricas da caracterização e os resultados obtidos na representação. </w:t>
      </w:r>
      <w:r>
        <w:t xml:space="preserve">Por exemplo, a partir da caracterização poderiam ser supostas características da </w:t>
      </w:r>
      <w:r w:rsidRPr="0074233B">
        <w:t>distribuição dos valores</w:t>
      </w:r>
      <w:r>
        <w:t xml:space="preserve"> e</w:t>
      </w:r>
      <w:r w:rsidRPr="0074233B">
        <w:t xml:space="preserve"> medidas</w:t>
      </w:r>
      <w:r>
        <w:t xml:space="preserve"> de distribuição como</w:t>
      </w:r>
      <w:r w:rsidRPr="0074233B">
        <w:t xml:space="preserve"> tendência central</w:t>
      </w:r>
      <w:r>
        <w:t>,</w:t>
      </w:r>
      <w:r w:rsidRPr="0074233B">
        <w:t xml:space="preserve"> dispersão</w:t>
      </w:r>
      <w:r>
        <w:t xml:space="preserve"> e frequências</w:t>
      </w:r>
      <w:r w:rsidRPr="0074233B">
        <w:t xml:space="preserve">. Dessa forma, algumas estratégias para avaliar a representação incluem testes como o de Shapiro-Wilk, o teste t e o teste de Levene, que permitem verificar se determinadas suposições são confirmadas empiricamente. Além disso, podem ser consideradas medidas já utilizadas em pesquisas, como os efeitos de piso e teto, que avaliam possíveis </w:t>
      </w:r>
      <w:r>
        <w:t xml:space="preserve">falhas </w:t>
      </w:r>
      <w:r w:rsidRPr="0074233B">
        <w:t xml:space="preserve">na </w:t>
      </w:r>
      <w:r>
        <w:t>representação</w:t>
      </w:r>
      <w:r w:rsidR="000006C0">
        <w:t xml:space="preserve"> </w:t>
      </w:r>
      <w:r w:rsidR="000006C0">
        <w:fldChar w:fldCharType="begin"/>
      </w:r>
      <w:r w:rsidR="00A57987">
        <w:instrText xml:space="preserve"> ADDIN ZOTERO_ITEM CSL_CITATION {"citationID":"Ee4row3b","properties":{"formattedCitation":"(Bastianel {\\i{}et al.}, 2024; Th\\uc0\\u233{}roux {\\i{}et al.}, 2017)","plainCitation":"(Bastianel et al., 2024; Théroux et al., 2017)","noteIndex":0},"citationItems":[{"id":3684,"uris":["http://zotero.org/users/8796872/items/K29W5ZN2"],"itemData":{"id":3684,"type":"article-journal","abstract":"Purpose: To develop a questionnaire for adolescent idiopathic scoliosis (AIS) patients undergoing physiotherapeutic scoliosis-specific exercises (PSSE) and to evaluate its content validity, structural validity, and reliability.\nMethodology: Seven PSSE treatment experts checked the content validity of the Patient’s Perception of Scoliosis-Specific Physiotherapy Questionnaire (Physio-IS). For each Physio-IS item, the content validity indexes must be ≥ 90%. Regarding structural validity and reliability 52 adolescents (ages 10–17) with AIS completed the questionnaire. Structural validity was assessed through exploratory factor analysis. Reliability was verified through internal consistency.\nResults: Physio-IS content was validated in three evaluation rounds, obtaining 100% expert agreement. About structural validity we identified four domains (cumulative explained variance = 68.2%): (1) specific knowledge (seven questions on understanding their scoliosis condition); (2) social repercussion (five questions about social relationship implications); (3) pain (two questions about scoliosis-associated pain); and (4) associated concern (apprehension/expectations regarding the future). The Physio-IS demonstrated very good internal consistency (Cronbach’s alpha = 0.76–0.92).\nConclusion: The Physio-IS is a valid and reliable tool for assessing AIS patients undergoing PSSE and helping physiotherapists identify aspects requiring more attention, thus facilitating intervention strategies, as knowing the patient’s perception of their condition or treatment is fundamental to AIS treatment success.","container-title":"Disability and Rehabilitation","DOI":"10.1080/09638288.2024.2322040","ISSN":"0963-8288, 1464-5165","issue":"25","journalAbbreviation":"Disability and Rehabilitation","language":"en","page":"6187-6194","source":"DOI.org (Crossref)","title":"Development, validity and reliability of patient perception of scoliosis-specific physiotherapy (physio-is) questionnaire","volume":"46","author":[{"family":"Bastianel","given":"Laura"},{"family":"Beraldo","given":"Lucas Menghin"},{"family":"Pilling","given":"Betiane Moreira"},{"family":"Candotti","given":"Cláudia Tarragô"}],"issued":{"date-parts":[["2024",12,3]]}}},{"id":3686,"uris":["http://zotero.org/users/8796872/items/W3RPD9FG"],"itemData":{"id":3686,"type":"article-journal","abstract":"Background: Adolescent idiopathic scoliosis (AIS) is among the most common spinal deformities affecting adolescents. The Scoliosis Research Society-22 questionnaire is commonly used to assess health-related quality of life in AIS patients, including pain. The objective of this study is to verify the psychometric properties of the Scoliosis Research Society-22 French version (SRS-22fv) questionnaire.\nMethods: A prospective methodological design was used to verify the psychometric properties of the French version of the SRS-22fv. Participants were initially recruited from the orthopaedic scoliosis department at Sainte-Justine Hospital (Montreal, Canada) and completed the SRS-22fv and the SF-12 questionnaire. The SRS-22fv’s structure was evaluated through principal component analysis (PCA). Linear regression was used to assess convergent validity between the SRS-22fv and the SF-12.\nResults: Data was available from 352 participants with AIS. Most participants were female (87%, n = 307), and the average age was 14.3 (SD = 1.8) years. The mean thoracic and lumbar Cobb angles were 27.9° (SD = 3.3) and 23.6° (SD = 9.4), respectively. Overall, 71.4% (n = 252) of the participants presented with spinal pain. About one-third (29%) reported thoracic pain, and almost half (44%) experienced lumbar pain. The PCA identified four redundant items, which resulted in a modified 18-item questionnaire. In comparison to the original questionnaire, the modified version showed higher levels of internal consistency for four of the five factors, explained a greater proportion of the total variance (63.3%), and generated higher inter-item total correlations.\nConclusion: We propose a shorter version of the SRS-22fv, thus the Canadian SRS-18fv, which showed an improved internal consistency and scale structure compared to the original SRS-22fv. We believe that this modified version would be better suited to assess the quality of life of adolescents with idiopathic scoliosis.","container-title":"Scoliosis and Spinal Disorders","DOI":"10.1186/s13013-017-0129-8","ISSN":"2397-1789","issue":"1","journalAbbreviation":"Scoliosis","language":"en","page":"21","source":"DOI.org (Crossref)","title":"Revisiting the psychometric properties of the Scoliosis Research Society-22 (SRS-22) French version","volume":"12","author":[{"family":"Théroux","given":"Jean"},{"family":"Stomski","given":"Norman"},{"family":"Innes","given":"Stanley"},{"family":"Ballard","given":"Ariane"},{"family":"Khadra","given":"Christelle"},{"family":"Labelle","given":"Hubert"},{"family":"Le May","given":"Sylvie"}],"issued":{"date-parts":[["2017",12]]}}}],"schema":"https://github.com/citation-style-language/schema/raw/master/csl-citation.json"} </w:instrText>
      </w:r>
      <w:r w:rsidR="000006C0">
        <w:fldChar w:fldCharType="separate"/>
      </w:r>
      <w:r w:rsidR="00A57987" w:rsidRPr="00A57987">
        <w:rPr>
          <w:rFonts w:cs="Arial"/>
          <w:kern w:val="0"/>
        </w:rPr>
        <w:t xml:space="preserve">(Bastianel </w:t>
      </w:r>
      <w:r w:rsidR="00A57987" w:rsidRPr="00A57987">
        <w:rPr>
          <w:rFonts w:cs="Arial"/>
          <w:i/>
          <w:iCs/>
          <w:kern w:val="0"/>
        </w:rPr>
        <w:t>et al.</w:t>
      </w:r>
      <w:r w:rsidR="00A57987" w:rsidRPr="00A57987">
        <w:rPr>
          <w:rFonts w:cs="Arial"/>
          <w:kern w:val="0"/>
        </w:rPr>
        <w:t xml:space="preserve">, 2024; Théroux </w:t>
      </w:r>
      <w:r w:rsidR="00A57987" w:rsidRPr="00A57987">
        <w:rPr>
          <w:rFonts w:cs="Arial"/>
          <w:i/>
          <w:iCs/>
          <w:kern w:val="0"/>
        </w:rPr>
        <w:t>et al.</w:t>
      </w:r>
      <w:r w:rsidR="00A57987" w:rsidRPr="00A57987">
        <w:rPr>
          <w:rFonts w:cs="Arial"/>
          <w:kern w:val="0"/>
        </w:rPr>
        <w:t>, 2017)</w:t>
      </w:r>
      <w:r w:rsidR="000006C0">
        <w:fldChar w:fldCharType="end"/>
      </w:r>
      <w:r w:rsidRPr="0074233B">
        <w:t>.</w:t>
      </w:r>
    </w:p>
    <w:p w14:paraId="111FBA42" w14:textId="148447E5" w:rsidR="000D63C1" w:rsidRDefault="000D63C1" w:rsidP="00AD5B1B">
      <w:r>
        <w:t>Esta revisão teve um recorte bastante restrito com base em um único sistema de medição, o que traz uma limitação quanto a variedade de metodologias observadas. Outra limitação é que esta revisão se restringiu às pesquisas de clinimetria e a análise em pesquisas de aplicação do BackPEI pode trazer novos conhecimentos que não são observáveis apenas com os estudos de desenvolvimento e avaliação dos sistemas de medição.</w:t>
      </w:r>
    </w:p>
    <w:p w14:paraId="14909037" w14:textId="402ED104" w:rsidR="00040147" w:rsidRDefault="00040147" w:rsidP="00040147">
      <w:pPr>
        <w:pStyle w:val="Ttulo1"/>
      </w:pPr>
      <w:r>
        <w:lastRenderedPageBreak/>
        <w:t>CONCLUSÃO</w:t>
      </w:r>
    </w:p>
    <w:p w14:paraId="4F5ADA74" w14:textId="77777777" w:rsidR="0083593E" w:rsidRDefault="00FB39F7" w:rsidP="00FB39F7">
      <w:r>
        <w:t xml:space="preserve">A partir dessa revisão identificou-se que há uma preocupação maior das pesquisas </w:t>
      </w:r>
      <w:proofErr w:type="spellStart"/>
      <w:r>
        <w:t>clinimétricas</w:t>
      </w:r>
      <w:proofErr w:type="spellEnd"/>
      <w:r>
        <w:t xml:space="preserve"> do BackPEI com os procedimentos e que há uma grande importância da avaliação científica de todos os elementos da estrutura epistemológica, havendo ainda uma lacuna sobre como avaliar a representação.</w:t>
      </w:r>
    </w:p>
    <w:p w14:paraId="79AFC26C" w14:textId="49B3DE22" w:rsidR="0083593E" w:rsidRDefault="0083593E" w:rsidP="00FB39F7">
      <w:r w:rsidRPr="0083593E">
        <w:t>Apresentação de definições claras e referências para as metodologias empregadas</w:t>
      </w:r>
      <w:proofErr w:type="gramStart"/>
      <w:r w:rsidRPr="0083593E">
        <w:t>. .</w:t>
      </w:r>
      <w:proofErr w:type="gramEnd"/>
      <w:r w:rsidRPr="0083593E">
        <w:t xml:space="preserve"> Avaliar a caracterização através da validade de conteúdo questionando o painel sobre o conceito e empregar outros métodos de avaliação como a relação com outros conceitos e a validade estrutural. Realizar de forma mais objetiva a definição dos conceitos medidos e explicar a relação com a representação. Criar suposições sobre características da representação e testá-las a partir dos dados coletados e avaliar o efeito piso e teto.</w:t>
      </w:r>
    </w:p>
    <w:p w14:paraId="54901411" w14:textId="41433C1A" w:rsidR="00FB39F7" w:rsidRDefault="00FB39F7" w:rsidP="00FB39F7">
      <w:r>
        <w:t xml:space="preserve"> Pesquisas futuras podem ser realizadas a partir da mesma metodologia empregada nessa revisão, porém com sistemas de medição diferentes avaliando se as pesquisas </w:t>
      </w:r>
      <w:proofErr w:type="spellStart"/>
      <w:r>
        <w:t>clinimétricas</w:t>
      </w:r>
      <w:proofErr w:type="spellEnd"/>
      <w:r w:rsidR="0083593E">
        <w:t xml:space="preserve"> empregam</w:t>
      </w:r>
      <w:r>
        <w:t xml:space="preserve"> </w:t>
      </w:r>
      <w:r w:rsidR="0083593E">
        <w:t>m</w:t>
      </w:r>
      <w:r>
        <w:t xml:space="preserve">étodos diferentes que possam auxiliar na caracterização, representação e procedimentos de diversos sistemas de medição. Também é importante avaliar o sucesso da caracterização, representação e procedimentos do BackPEI através das pesquisas que aplicam o sistema de medição. </w:t>
      </w:r>
    </w:p>
    <w:p w14:paraId="42A5EE9B" w14:textId="77777777" w:rsidR="00040147" w:rsidRDefault="00040147" w:rsidP="00040147"/>
    <w:p w14:paraId="3618A886" w14:textId="5FF88FDA" w:rsidR="00040147" w:rsidRDefault="00040147" w:rsidP="00040147">
      <w:pPr>
        <w:pStyle w:val="Ttulo1"/>
      </w:pPr>
      <w:r>
        <w:t>rEFERÊNCIAS</w:t>
      </w:r>
    </w:p>
    <w:p w14:paraId="0AF99EB2" w14:textId="77777777" w:rsidR="005F490D" w:rsidRPr="005F490D" w:rsidRDefault="005F490D" w:rsidP="00BE0591">
      <w:pPr>
        <w:pStyle w:val="Bibliografia"/>
        <w:spacing w:after="480"/>
        <w:rPr>
          <w:rFonts w:cs="Arial"/>
        </w:rPr>
      </w:pPr>
      <w:r>
        <w:fldChar w:fldCharType="begin"/>
      </w:r>
      <w:r>
        <w:instrText xml:space="preserve"> ADDIN ZOTERO_BIBL {"uncited":[],"omitted":[],"custom":[]} CSL_BIBLIOGRAPHY </w:instrText>
      </w:r>
      <w:r>
        <w:fldChar w:fldCharType="separate"/>
      </w:r>
      <w:r w:rsidRPr="005F490D">
        <w:rPr>
          <w:rFonts w:cs="Arial"/>
        </w:rPr>
        <w:t xml:space="preserve">AIMI, M. </w:t>
      </w:r>
      <w:r w:rsidRPr="005F490D">
        <w:rPr>
          <w:rFonts w:cs="Arial"/>
          <w:i/>
          <w:iCs/>
        </w:rPr>
        <w:t>et al.</w:t>
      </w:r>
      <w:r w:rsidRPr="005F490D">
        <w:rPr>
          <w:rFonts w:cs="Arial"/>
        </w:rPr>
        <w:t xml:space="preserve"> </w:t>
      </w:r>
      <w:r w:rsidRPr="005F490D">
        <w:rPr>
          <w:rFonts w:cs="Arial"/>
          <w:b/>
          <w:bCs/>
        </w:rPr>
        <w:t>Posture, muscle endurance and ROM in individuals with and without neck pain</w:t>
      </w:r>
      <w:r w:rsidRPr="005F490D">
        <w:rPr>
          <w:rFonts w:cs="Arial"/>
        </w:rPr>
        <w:t xml:space="preserve">. </w:t>
      </w:r>
      <w:r w:rsidRPr="005F490D">
        <w:rPr>
          <w:rFonts w:cs="Arial"/>
          <w:b/>
          <w:bCs/>
        </w:rPr>
        <w:t>Fisioterapia em Movimento</w:t>
      </w:r>
      <w:r w:rsidRPr="005F490D">
        <w:rPr>
          <w:rFonts w:cs="Arial"/>
        </w:rPr>
        <w:t xml:space="preserve">Universidade Federal do Rio Grande do Sul (UFRGS), RS, Porto Alegre, BrazilPontificia Universidade Catolica do Parana, , 2019. </w:t>
      </w:r>
    </w:p>
    <w:p w14:paraId="2549C8D7" w14:textId="77777777" w:rsidR="005F490D" w:rsidRPr="005F490D" w:rsidRDefault="005F490D" w:rsidP="00BE0591">
      <w:pPr>
        <w:pStyle w:val="Bibliografia"/>
        <w:spacing w:after="480"/>
        <w:rPr>
          <w:rFonts w:cs="Arial"/>
        </w:rPr>
      </w:pPr>
      <w:r w:rsidRPr="005F490D">
        <w:rPr>
          <w:rFonts w:cs="Arial"/>
        </w:rPr>
        <w:t xml:space="preserve">AKBARI-CHEHREHBARGH, Z.; TAVAFIAN, S. S.; MONTAZERI, A. </w:t>
      </w:r>
      <w:r w:rsidRPr="005F490D">
        <w:rPr>
          <w:rFonts w:cs="Arial"/>
          <w:b/>
          <w:bCs/>
        </w:rPr>
        <w:t>The Back-care Behavior Assessment Questionnaire (BABAQ) for schoolchildren: Development and psychometric evaluation</w:t>
      </w:r>
      <w:r w:rsidRPr="005F490D">
        <w:rPr>
          <w:rFonts w:cs="Arial"/>
        </w:rPr>
        <w:t xml:space="preserve">. </w:t>
      </w:r>
      <w:r w:rsidRPr="005F490D">
        <w:rPr>
          <w:rFonts w:cs="Arial"/>
          <w:b/>
          <w:bCs/>
        </w:rPr>
        <w:t>BMC Public Health</w:t>
      </w:r>
      <w:r w:rsidRPr="005F490D">
        <w:rPr>
          <w:rFonts w:cs="Arial"/>
        </w:rPr>
        <w:t xml:space="preserve">["Department of Health Education, Faculty of Medical Sciences, Tarbiat Modares University, Tehran, Iran", “Health Metrics Research Center, Iranian Institutes for Health Sciences Research, Acecr, Tehran, Iran”, “Faculty of Humanity Sciences, University of Science and Culture, Acecr, Tehran, Iran”], 2020. </w:t>
      </w:r>
    </w:p>
    <w:p w14:paraId="1AAAA019" w14:textId="77777777" w:rsidR="005F490D" w:rsidRPr="005F490D" w:rsidRDefault="005F490D" w:rsidP="00BE0591">
      <w:pPr>
        <w:pStyle w:val="Bibliografia"/>
        <w:spacing w:after="480"/>
        <w:rPr>
          <w:rFonts w:cs="Arial"/>
        </w:rPr>
      </w:pPr>
      <w:r w:rsidRPr="005F490D">
        <w:rPr>
          <w:rFonts w:cs="Arial"/>
        </w:rPr>
        <w:t xml:space="preserve">ANTONIOLLI, A. </w:t>
      </w:r>
      <w:r w:rsidRPr="005F490D">
        <w:rPr>
          <w:rFonts w:cs="Arial"/>
          <w:i/>
          <w:iCs/>
        </w:rPr>
        <w:t>et al.</w:t>
      </w:r>
      <w:r w:rsidRPr="005F490D">
        <w:rPr>
          <w:rFonts w:cs="Arial"/>
        </w:rPr>
        <w:t xml:space="preserve"> AGREEMENT BETWEEN A TEST BASED ON A QUALITATIVE ANALYSIS OF FILMED ACTIONS AND ONE BASED ON A QUESTIONNAIRE FOR ASSESSING STUDENT BODY POSTURE. </w:t>
      </w:r>
      <w:r w:rsidRPr="005F490D">
        <w:rPr>
          <w:rFonts w:cs="Arial"/>
          <w:b/>
          <w:bCs/>
        </w:rPr>
        <w:t>Pensar a Prática</w:t>
      </w:r>
      <w:r w:rsidRPr="005F490D">
        <w:rPr>
          <w:rFonts w:cs="Arial"/>
        </w:rPr>
        <w:t>, [</w:t>
      </w:r>
      <w:r w:rsidRPr="005F490D">
        <w:rPr>
          <w:rFonts w:cs="Arial"/>
          <w:i/>
          <w:iCs/>
        </w:rPr>
        <w:t>s. l.</w:t>
      </w:r>
      <w:r w:rsidRPr="005F490D">
        <w:rPr>
          <w:rFonts w:cs="Arial"/>
        </w:rPr>
        <w:t>], v. 18, n. 4, 2015. Disponível em: https://www.revistas.ufg.br/fef/article/view/30758. Acesso em: 16 fev. 2024.</w:t>
      </w:r>
    </w:p>
    <w:p w14:paraId="1ECC9735" w14:textId="77777777" w:rsidR="005F490D" w:rsidRPr="005F490D" w:rsidRDefault="005F490D" w:rsidP="00BE0591">
      <w:pPr>
        <w:pStyle w:val="Bibliografia"/>
        <w:spacing w:after="480"/>
        <w:rPr>
          <w:rFonts w:cs="Arial"/>
        </w:rPr>
      </w:pPr>
      <w:r w:rsidRPr="005F490D">
        <w:rPr>
          <w:rFonts w:cs="Arial"/>
        </w:rPr>
        <w:lastRenderedPageBreak/>
        <w:t xml:space="preserve">BASTIANEL, L. </w:t>
      </w:r>
      <w:r w:rsidRPr="005F490D">
        <w:rPr>
          <w:rFonts w:cs="Arial"/>
          <w:i/>
          <w:iCs/>
        </w:rPr>
        <w:t>et al.</w:t>
      </w:r>
      <w:r w:rsidRPr="005F490D">
        <w:rPr>
          <w:rFonts w:cs="Arial"/>
        </w:rPr>
        <w:t xml:space="preserve"> Development, validity and reliability of patient perception of scoliosis-specific physiotherapy (physio-is) questionnaire. </w:t>
      </w:r>
      <w:r w:rsidRPr="005F490D">
        <w:rPr>
          <w:rFonts w:cs="Arial"/>
          <w:b/>
          <w:bCs/>
        </w:rPr>
        <w:t>Disability and Rehabilitation</w:t>
      </w:r>
      <w:r w:rsidRPr="005F490D">
        <w:rPr>
          <w:rFonts w:cs="Arial"/>
        </w:rPr>
        <w:t>, [</w:t>
      </w:r>
      <w:r w:rsidRPr="005F490D">
        <w:rPr>
          <w:rFonts w:cs="Arial"/>
          <w:i/>
          <w:iCs/>
        </w:rPr>
        <w:t>s. l.</w:t>
      </w:r>
      <w:r w:rsidRPr="005F490D">
        <w:rPr>
          <w:rFonts w:cs="Arial"/>
        </w:rPr>
        <w:t xml:space="preserve">], v. 46, n. 25, p. 6187–6194, 2024. </w:t>
      </w:r>
    </w:p>
    <w:p w14:paraId="29D1819B" w14:textId="77777777" w:rsidR="005F490D" w:rsidRPr="005F490D" w:rsidRDefault="005F490D" w:rsidP="00BE0591">
      <w:pPr>
        <w:pStyle w:val="Bibliografia"/>
        <w:spacing w:after="480"/>
        <w:rPr>
          <w:rFonts w:cs="Arial"/>
        </w:rPr>
      </w:pPr>
      <w:r w:rsidRPr="005F490D">
        <w:rPr>
          <w:rFonts w:cs="Arial"/>
        </w:rPr>
        <w:t xml:space="preserve">BERALDO, L. M.; SILVA, M. G.; CANDOTTI, C. T. Métodos clínicos de avaliação dinâmica e quantitativa do complexo ombro e escápula: uma revisão de escopo. </w:t>
      </w:r>
      <w:r w:rsidRPr="005F490D">
        <w:rPr>
          <w:rFonts w:cs="Arial"/>
          <w:b/>
          <w:bCs/>
        </w:rPr>
        <w:t>Fisioterapia e Pesquisa</w:t>
      </w:r>
      <w:r w:rsidRPr="005F490D">
        <w:rPr>
          <w:rFonts w:cs="Arial"/>
        </w:rPr>
        <w:t>, [</w:t>
      </w:r>
      <w:r w:rsidRPr="005F490D">
        <w:rPr>
          <w:rFonts w:cs="Arial"/>
          <w:i/>
          <w:iCs/>
        </w:rPr>
        <w:t>s. l.</w:t>
      </w:r>
      <w:r w:rsidRPr="005F490D">
        <w:rPr>
          <w:rFonts w:cs="Arial"/>
        </w:rPr>
        <w:t xml:space="preserve">], v. 29, n. 3, p. 327–333, 2022. </w:t>
      </w:r>
    </w:p>
    <w:p w14:paraId="6565D75F" w14:textId="77777777" w:rsidR="005F490D" w:rsidRPr="005F490D" w:rsidRDefault="005F490D" w:rsidP="00BE0591">
      <w:pPr>
        <w:pStyle w:val="Bibliografia"/>
        <w:spacing w:after="480"/>
        <w:rPr>
          <w:rFonts w:cs="Arial"/>
        </w:rPr>
      </w:pPr>
      <w:r w:rsidRPr="005F490D">
        <w:rPr>
          <w:rFonts w:cs="Arial"/>
        </w:rPr>
        <w:t xml:space="preserve">BLIZNASHKA, L. </w:t>
      </w:r>
      <w:r w:rsidRPr="005F490D">
        <w:rPr>
          <w:rFonts w:cs="Arial"/>
          <w:i/>
          <w:iCs/>
        </w:rPr>
        <w:t>et al.</w:t>
      </w:r>
      <w:r w:rsidRPr="005F490D">
        <w:rPr>
          <w:rFonts w:cs="Arial"/>
        </w:rPr>
        <w:t xml:space="preserve"> Psychometric properties of early childhood development assessment tools in low- and middle-income countries: a systematic review. </w:t>
      </w:r>
      <w:r w:rsidRPr="005F490D">
        <w:rPr>
          <w:rFonts w:cs="Arial"/>
          <w:b/>
          <w:bCs/>
        </w:rPr>
        <w:t>BMJ Open</w:t>
      </w:r>
      <w:r w:rsidRPr="005F490D">
        <w:rPr>
          <w:rFonts w:cs="Arial"/>
        </w:rPr>
        <w:t>, [</w:t>
      </w:r>
      <w:r w:rsidRPr="005F490D">
        <w:rPr>
          <w:rFonts w:cs="Arial"/>
          <w:i/>
          <w:iCs/>
        </w:rPr>
        <w:t>s. l.</w:t>
      </w:r>
      <w:r w:rsidRPr="005F490D">
        <w:rPr>
          <w:rFonts w:cs="Arial"/>
        </w:rPr>
        <w:t xml:space="preserve">], v. 15, n. 5, p. e096365, 2025. </w:t>
      </w:r>
    </w:p>
    <w:p w14:paraId="0F043CF8" w14:textId="77777777" w:rsidR="005F490D" w:rsidRPr="005F490D" w:rsidRDefault="005F490D" w:rsidP="00BE0591">
      <w:pPr>
        <w:pStyle w:val="Bibliografia"/>
        <w:spacing w:after="480"/>
        <w:rPr>
          <w:rFonts w:cs="Arial"/>
        </w:rPr>
      </w:pPr>
      <w:r w:rsidRPr="005F490D">
        <w:rPr>
          <w:rFonts w:cs="Arial"/>
        </w:rPr>
        <w:t xml:space="preserve">BRADBURN, N. M.; CARTWRIGHT, N.; FULLER, J. </w:t>
      </w:r>
      <w:r w:rsidRPr="005F490D">
        <w:rPr>
          <w:rFonts w:cs="Arial"/>
          <w:b/>
          <w:bCs/>
        </w:rPr>
        <w:t>A theory of measurement.</w:t>
      </w:r>
      <w:r w:rsidRPr="005F490D">
        <w:rPr>
          <w:rFonts w:cs="Arial"/>
        </w:rPr>
        <w:t xml:space="preserve"> Durham: Centre for Humanities Engaging Science and Society (CHESS), Durham, 2016. Disponível em: https://www.dur.ac.uk/chess/chessworkingpapers/. Acesso em: 3 ago. 2022.</w:t>
      </w:r>
    </w:p>
    <w:p w14:paraId="30A3A753" w14:textId="77777777" w:rsidR="005F490D" w:rsidRPr="005F490D" w:rsidRDefault="005F490D" w:rsidP="00BE0591">
      <w:pPr>
        <w:pStyle w:val="Bibliografia"/>
        <w:spacing w:after="480"/>
        <w:rPr>
          <w:rFonts w:cs="Arial"/>
        </w:rPr>
      </w:pPr>
      <w:r w:rsidRPr="005F490D">
        <w:rPr>
          <w:rFonts w:cs="Arial"/>
        </w:rPr>
        <w:t xml:space="preserve">CANDOTTI, C. T. </w:t>
      </w:r>
      <w:r w:rsidRPr="005F490D">
        <w:rPr>
          <w:rFonts w:cs="Arial"/>
          <w:i/>
          <w:iCs/>
        </w:rPr>
        <w:t>et al.</w:t>
      </w:r>
      <w:r w:rsidRPr="005F490D">
        <w:rPr>
          <w:rFonts w:cs="Arial"/>
        </w:rPr>
        <w:t xml:space="preserve"> Back Pain and Body Posture Evaluation Instrument for Adults (BackPEI-A): Updating and an online application. </w:t>
      </w:r>
      <w:r w:rsidRPr="005F490D">
        <w:rPr>
          <w:rFonts w:cs="Arial"/>
          <w:b/>
          <w:bCs/>
        </w:rPr>
        <w:t>Journal of Bodywork and Movement Therapies</w:t>
      </w:r>
      <w:r w:rsidRPr="005F490D">
        <w:rPr>
          <w:rFonts w:cs="Arial"/>
        </w:rPr>
        <w:t>, [</w:t>
      </w:r>
      <w:r w:rsidRPr="005F490D">
        <w:rPr>
          <w:rFonts w:cs="Arial"/>
          <w:i/>
          <w:iCs/>
        </w:rPr>
        <w:t>s. l.</w:t>
      </w:r>
      <w:r w:rsidRPr="005F490D">
        <w:rPr>
          <w:rFonts w:cs="Arial"/>
        </w:rPr>
        <w:t xml:space="preserve">], v. 36, p. 158–164, 2023. </w:t>
      </w:r>
    </w:p>
    <w:p w14:paraId="1156DB98" w14:textId="77777777" w:rsidR="005F490D" w:rsidRPr="005F490D" w:rsidRDefault="005F490D" w:rsidP="00BE0591">
      <w:pPr>
        <w:pStyle w:val="Bibliografia"/>
        <w:spacing w:after="480"/>
        <w:rPr>
          <w:rFonts w:cs="Arial"/>
        </w:rPr>
      </w:pPr>
      <w:r w:rsidRPr="005F490D">
        <w:rPr>
          <w:rFonts w:cs="Arial"/>
        </w:rPr>
        <w:t xml:space="preserve">CANDOTTI, C. T. </w:t>
      </w:r>
      <w:r w:rsidRPr="005F490D">
        <w:rPr>
          <w:rFonts w:cs="Arial"/>
          <w:i/>
          <w:iCs/>
        </w:rPr>
        <w:t>et al.</w:t>
      </w:r>
      <w:r w:rsidRPr="005F490D">
        <w:rPr>
          <w:rFonts w:cs="Arial"/>
        </w:rPr>
        <w:t xml:space="preserve"> Back Pain and Body Posture Evaluation Instrument for Adults: Expansion and Reproducibility. </w:t>
      </w:r>
      <w:r w:rsidRPr="005F490D">
        <w:rPr>
          <w:rFonts w:cs="Arial"/>
          <w:b/>
          <w:bCs/>
        </w:rPr>
        <w:t>Pain Management Nursing</w:t>
      </w:r>
      <w:r w:rsidRPr="005F490D">
        <w:rPr>
          <w:rFonts w:cs="Arial"/>
        </w:rPr>
        <w:t>, [</w:t>
      </w:r>
      <w:r w:rsidRPr="005F490D">
        <w:rPr>
          <w:rFonts w:cs="Arial"/>
          <w:i/>
          <w:iCs/>
        </w:rPr>
        <w:t>s. l.</w:t>
      </w:r>
      <w:r w:rsidRPr="005F490D">
        <w:rPr>
          <w:rFonts w:cs="Arial"/>
        </w:rPr>
        <w:t xml:space="preserve">], v. 19, n. 4, p. 415–423, 2018. </w:t>
      </w:r>
    </w:p>
    <w:p w14:paraId="4C3311C9" w14:textId="77777777" w:rsidR="005F490D" w:rsidRPr="005F490D" w:rsidRDefault="005F490D" w:rsidP="00BE0591">
      <w:pPr>
        <w:pStyle w:val="Bibliografia"/>
        <w:spacing w:after="480"/>
        <w:rPr>
          <w:rFonts w:cs="Arial"/>
        </w:rPr>
      </w:pPr>
      <w:r w:rsidRPr="005F490D">
        <w:rPr>
          <w:rFonts w:cs="Arial"/>
        </w:rPr>
        <w:t xml:space="preserve">CARTWRIGHT, N.; MONTUSCHI, E. </w:t>
      </w:r>
      <w:r w:rsidRPr="005F490D">
        <w:rPr>
          <w:rFonts w:cs="Arial"/>
          <w:b/>
          <w:bCs/>
        </w:rPr>
        <w:t>Philosophy of Social Science</w:t>
      </w:r>
      <w:r w:rsidRPr="005F490D">
        <w:rPr>
          <w:rFonts w:cs="Arial"/>
        </w:rPr>
        <w:t xml:space="preserve">. 1. ed. Oxford: Oxford University Press, 2018. </w:t>
      </w:r>
    </w:p>
    <w:p w14:paraId="5E3E355E" w14:textId="77777777" w:rsidR="005F490D" w:rsidRPr="005F490D" w:rsidRDefault="005F490D" w:rsidP="00BE0591">
      <w:pPr>
        <w:pStyle w:val="Bibliografia"/>
        <w:spacing w:after="480"/>
        <w:rPr>
          <w:rFonts w:cs="Arial"/>
        </w:rPr>
      </w:pPr>
      <w:r w:rsidRPr="005F490D">
        <w:rPr>
          <w:rFonts w:cs="Arial"/>
        </w:rPr>
        <w:t xml:space="preserve">CARTWRIGHT, N.; RUNHARDT, R. Measurement. </w:t>
      </w:r>
      <w:r w:rsidRPr="005F490D">
        <w:rPr>
          <w:rFonts w:cs="Arial"/>
          <w:i/>
          <w:iCs/>
        </w:rPr>
        <w:t>In</w:t>
      </w:r>
      <w:r w:rsidRPr="005F490D">
        <w:rPr>
          <w:rFonts w:cs="Arial"/>
        </w:rPr>
        <w:t xml:space="preserve">: PHILOSOPHY OS SOCIAL SCIENCE: A NEW INTRODUCTION. 1. ed. Oxford: Oxford University Press, 2018. </w:t>
      </w:r>
    </w:p>
    <w:p w14:paraId="13923FD4" w14:textId="77777777" w:rsidR="005F490D" w:rsidRPr="005F490D" w:rsidRDefault="005F490D" w:rsidP="00BE0591">
      <w:pPr>
        <w:pStyle w:val="Bibliografia"/>
        <w:spacing w:after="480"/>
        <w:rPr>
          <w:rFonts w:cs="Arial"/>
        </w:rPr>
      </w:pPr>
      <w:r w:rsidRPr="005F490D">
        <w:rPr>
          <w:rFonts w:cs="Arial"/>
        </w:rPr>
        <w:t xml:space="preserve">CHANG, H. </w:t>
      </w:r>
      <w:r w:rsidRPr="005F490D">
        <w:rPr>
          <w:rFonts w:cs="Arial"/>
          <w:b/>
          <w:bCs/>
        </w:rPr>
        <w:t>Inventing temperature: measurement and scientific progress</w:t>
      </w:r>
      <w:r w:rsidRPr="005F490D">
        <w:rPr>
          <w:rFonts w:cs="Arial"/>
        </w:rPr>
        <w:t>. New York: Oxford University Press, 2004. Disponível em: http://choicereviews.org/review/10.5860/CHOICE.43-0373. Acesso em: 7 maio 2022.</w:t>
      </w:r>
    </w:p>
    <w:p w14:paraId="6CA751F9" w14:textId="77777777" w:rsidR="005F490D" w:rsidRPr="005F490D" w:rsidRDefault="005F490D" w:rsidP="00BE0591">
      <w:pPr>
        <w:pStyle w:val="Bibliografia"/>
        <w:spacing w:after="480"/>
        <w:rPr>
          <w:rFonts w:cs="Arial"/>
        </w:rPr>
      </w:pPr>
      <w:r w:rsidRPr="005F490D">
        <w:rPr>
          <w:rFonts w:cs="Arial"/>
        </w:rPr>
        <w:t xml:space="preserve">CRONBACH, L. J. Coefficient alpha and the internal structure of tests. </w:t>
      </w:r>
      <w:r w:rsidRPr="005F490D">
        <w:rPr>
          <w:rFonts w:cs="Arial"/>
          <w:b/>
          <w:bCs/>
        </w:rPr>
        <w:t>Psychometrika</w:t>
      </w:r>
      <w:r w:rsidRPr="005F490D">
        <w:rPr>
          <w:rFonts w:cs="Arial"/>
        </w:rPr>
        <w:t>, [</w:t>
      </w:r>
      <w:r w:rsidRPr="005F490D">
        <w:rPr>
          <w:rFonts w:cs="Arial"/>
          <w:i/>
          <w:iCs/>
        </w:rPr>
        <w:t>s. l.</w:t>
      </w:r>
      <w:r w:rsidRPr="005F490D">
        <w:rPr>
          <w:rFonts w:cs="Arial"/>
        </w:rPr>
        <w:t xml:space="preserve">], v. 16, n. 3, p. 297–334, 1951. </w:t>
      </w:r>
    </w:p>
    <w:p w14:paraId="6A00B2DE" w14:textId="77777777" w:rsidR="005F490D" w:rsidRPr="005F490D" w:rsidRDefault="005F490D" w:rsidP="00BE0591">
      <w:pPr>
        <w:pStyle w:val="Bibliografia"/>
        <w:spacing w:after="480"/>
        <w:rPr>
          <w:rFonts w:cs="Arial"/>
        </w:rPr>
      </w:pPr>
      <w:r w:rsidRPr="005F490D">
        <w:rPr>
          <w:rFonts w:cs="Arial"/>
        </w:rPr>
        <w:t xml:space="preserve">DA ROSA, B. N. </w:t>
      </w:r>
      <w:r w:rsidRPr="005F490D">
        <w:rPr>
          <w:rFonts w:cs="Arial"/>
          <w:i/>
          <w:iCs/>
        </w:rPr>
        <w:t>et al.</w:t>
      </w:r>
      <w:r w:rsidRPr="005F490D">
        <w:rPr>
          <w:rFonts w:cs="Arial"/>
        </w:rPr>
        <w:t xml:space="preserve"> 4-year Longitudinal Study of the Assessment of Body Posture, Back Pain, Postural and Life Habits of Schoolchildren. </w:t>
      </w:r>
      <w:r w:rsidRPr="005F490D">
        <w:rPr>
          <w:rFonts w:cs="Arial"/>
          <w:b/>
          <w:bCs/>
        </w:rPr>
        <w:t>Motricidade</w:t>
      </w:r>
      <w:r w:rsidRPr="005F490D">
        <w:rPr>
          <w:rFonts w:cs="Arial"/>
        </w:rPr>
        <w:t>, [</w:t>
      </w:r>
      <w:r w:rsidRPr="005F490D">
        <w:rPr>
          <w:rFonts w:cs="Arial"/>
          <w:i/>
          <w:iCs/>
        </w:rPr>
        <w:t>s. l.</w:t>
      </w:r>
      <w:r w:rsidRPr="005F490D">
        <w:rPr>
          <w:rFonts w:cs="Arial"/>
        </w:rPr>
        <w:t xml:space="preserve">], p. 3-12 Pages, 2018. </w:t>
      </w:r>
    </w:p>
    <w:p w14:paraId="37DAE0C4" w14:textId="77777777" w:rsidR="005F490D" w:rsidRPr="005F490D" w:rsidRDefault="005F490D" w:rsidP="00BE0591">
      <w:pPr>
        <w:pStyle w:val="Bibliografia"/>
        <w:spacing w:after="480"/>
        <w:rPr>
          <w:rFonts w:cs="Arial"/>
        </w:rPr>
      </w:pPr>
      <w:r w:rsidRPr="005F490D">
        <w:rPr>
          <w:rFonts w:cs="Arial"/>
        </w:rPr>
        <w:lastRenderedPageBreak/>
        <w:t xml:space="preserve">DA ROSA, B. N. </w:t>
      </w:r>
      <w:r w:rsidRPr="005F490D">
        <w:rPr>
          <w:rFonts w:cs="Arial"/>
          <w:i/>
          <w:iCs/>
        </w:rPr>
        <w:t>et al.</w:t>
      </w:r>
      <w:r w:rsidRPr="005F490D">
        <w:rPr>
          <w:rFonts w:cs="Arial"/>
        </w:rPr>
        <w:t xml:space="preserve"> Back Pain and Body Posture Evaluation Instrument for Children and Adolescents (BackPEI-CA): Expansion, Content Validation, and Reliability. </w:t>
      </w:r>
      <w:r w:rsidRPr="005F490D">
        <w:rPr>
          <w:rFonts w:cs="Arial"/>
          <w:b/>
          <w:bCs/>
        </w:rPr>
        <w:t>International Journal of Environmental Research and Public Health</w:t>
      </w:r>
      <w:r w:rsidRPr="005F490D">
        <w:rPr>
          <w:rFonts w:cs="Arial"/>
        </w:rPr>
        <w:t>, [</w:t>
      </w:r>
      <w:r w:rsidRPr="005F490D">
        <w:rPr>
          <w:rFonts w:cs="Arial"/>
          <w:i/>
          <w:iCs/>
        </w:rPr>
        <w:t>s. l.</w:t>
      </w:r>
      <w:r w:rsidRPr="005F490D">
        <w:rPr>
          <w:rFonts w:cs="Arial"/>
        </w:rPr>
        <w:t xml:space="preserve">], v. 19, n. 3, p. 1398, 2022. </w:t>
      </w:r>
    </w:p>
    <w:p w14:paraId="62ED8B2E" w14:textId="77777777" w:rsidR="005F490D" w:rsidRPr="005F490D" w:rsidRDefault="005F490D" w:rsidP="00BE0591">
      <w:pPr>
        <w:pStyle w:val="Bibliografia"/>
        <w:spacing w:after="480"/>
        <w:rPr>
          <w:rFonts w:cs="Arial"/>
        </w:rPr>
      </w:pPr>
      <w:r w:rsidRPr="005F490D">
        <w:rPr>
          <w:rFonts w:cs="Arial"/>
        </w:rPr>
        <w:t xml:space="preserve">DA ROSA, B. N. </w:t>
      </w:r>
      <w:r w:rsidRPr="005F490D">
        <w:rPr>
          <w:rFonts w:cs="Arial"/>
          <w:i/>
          <w:iCs/>
        </w:rPr>
        <w:t>et al.</w:t>
      </w:r>
      <w:r w:rsidRPr="005F490D">
        <w:rPr>
          <w:rFonts w:cs="Arial"/>
        </w:rPr>
        <w:t xml:space="preserve"> Concurrent Validity of Three Photogrammetric Methods for Assessing Knee Alignment in Sagittal Plane. </w:t>
      </w:r>
      <w:r w:rsidRPr="005F490D">
        <w:rPr>
          <w:rFonts w:cs="Arial"/>
          <w:b/>
          <w:bCs/>
        </w:rPr>
        <w:t>Methods and Protocols</w:t>
      </w:r>
      <w:r w:rsidRPr="005F490D">
        <w:rPr>
          <w:rFonts w:cs="Arial"/>
        </w:rPr>
        <w:t>, [</w:t>
      </w:r>
      <w:r w:rsidRPr="005F490D">
        <w:rPr>
          <w:rFonts w:cs="Arial"/>
          <w:i/>
          <w:iCs/>
        </w:rPr>
        <w:t>s. l.</w:t>
      </w:r>
      <w:r w:rsidRPr="005F490D">
        <w:rPr>
          <w:rFonts w:cs="Arial"/>
        </w:rPr>
        <w:t xml:space="preserve">], v. 8, n. 2, p. 41, 2025. </w:t>
      </w:r>
    </w:p>
    <w:p w14:paraId="4E014498" w14:textId="77777777" w:rsidR="005F490D" w:rsidRPr="005F490D" w:rsidRDefault="005F490D" w:rsidP="00BE0591">
      <w:pPr>
        <w:pStyle w:val="Bibliografia"/>
        <w:spacing w:after="480"/>
        <w:rPr>
          <w:rFonts w:cs="Arial"/>
        </w:rPr>
      </w:pPr>
      <w:r w:rsidRPr="005F490D">
        <w:rPr>
          <w:rFonts w:cs="Arial"/>
        </w:rPr>
        <w:t xml:space="preserve">FIELD, A. </w:t>
      </w:r>
      <w:r w:rsidRPr="005F490D">
        <w:rPr>
          <w:rFonts w:cs="Arial"/>
          <w:b/>
          <w:bCs/>
        </w:rPr>
        <w:t>Descobrindo a estatística usando o SPSS</w:t>
      </w:r>
      <w:r w:rsidRPr="005F490D">
        <w:rPr>
          <w:rFonts w:cs="Arial"/>
        </w:rPr>
        <w:t xml:space="preserve">. 2. ed. Porto Alegre: Artmed, 2009. </w:t>
      </w:r>
    </w:p>
    <w:p w14:paraId="21B14FBD" w14:textId="77777777" w:rsidR="005F490D" w:rsidRPr="005F490D" w:rsidRDefault="005F490D" w:rsidP="00BE0591">
      <w:pPr>
        <w:pStyle w:val="Bibliografia"/>
        <w:spacing w:after="480"/>
        <w:rPr>
          <w:rFonts w:cs="Arial"/>
        </w:rPr>
      </w:pPr>
      <w:r w:rsidRPr="005F490D">
        <w:rPr>
          <w:rFonts w:cs="Arial"/>
        </w:rPr>
        <w:t xml:space="preserve">GALMES-PANADES, A. M.; BORRÀS, P. A.; VIDAL-CONTI, J. Association of postural education and postural hygiene with low back pain in schoolchildren: Cross-sectional results from the PEPE study. </w:t>
      </w:r>
      <w:r w:rsidRPr="005F490D">
        <w:rPr>
          <w:rFonts w:cs="Arial"/>
          <w:b/>
          <w:bCs/>
        </w:rPr>
        <w:t>Health Promotion Perspectives</w:t>
      </w:r>
      <w:r w:rsidRPr="005F490D">
        <w:rPr>
          <w:rFonts w:cs="Arial"/>
        </w:rPr>
        <w:t>, [</w:t>
      </w:r>
      <w:r w:rsidRPr="005F490D">
        <w:rPr>
          <w:rFonts w:cs="Arial"/>
          <w:i/>
          <w:iCs/>
        </w:rPr>
        <w:t>s. l.</w:t>
      </w:r>
      <w:r w:rsidRPr="005F490D">
        <w:rPr>
          <w:rFonts w:cs="Arial"/>
        </w:rPr>
        <w:t xml:space="preserve">], v. 13, n. 2, p. 157–165, 2023. </w:t>
      </w:r>
    </w:p>
    <w:p w14:paraId="2A4CDB4E" w14:textId="77777777" w:rsidR="005F490D" w:rsidRPr="005F490D" w:rsidRDefault="005F490D" w:rsidP="00BE0591">
      <w:pPr>
        <w:pStyle w:val="Bibliografia"/>
        <w:spacing w:after="480"/>
        <w:rPr>
          <w:rFonts w:cs="Arial"/>
        </w:rPr>
      </w:pPr>
      <w:r w:rsidRPr="005F490D">
        <w:rPr>
          <w:rFonts w:cs="Arial"/>
        </w:rPr>
        <w:t xml:space="preserve">GENÇBAŞ, D.; BEBIŞ, H. Sırt Ağrısı ve Vücut Duruşu Değerlendirme Aracı: Türkçe Geçerlik ve Güvenirlik Çalışması. </w:t>
      </w:r>
      <w:r w:rsidRPr="005F490D">
        <w:rPr>
          <w:rFonts w:cs="Arial"/>
          <w:b/>
          <w:bCs/>
        </w:rPr>
        <w:t>Acibadem Universitesi Saglik Bilimleri Dergisi</w:t>
      </w:r>
      <w:r w:rsidRPr="005F490D">
        <w:rPr>
          <w:rFonts w:cs="Arial"/>
        </w:rPr>
        <w:t>, [</w:t>
      </w:r>
      <w:r w:rsidRPr="005F490D">
        <w:rPr>
          <w:rFonts w:cs="Arial"/>
          <w:i/>
          <w:iCs/>
        </w:rPr>
        <w:t>s. l.</w:t>
      </w:r>
      <w:r w:rsidRPr="005F490D">
        <w:rPr>
          <w:rFonts w:cs="Arial"/>
        </w:rPr>
        <w:t xml:space="preserve">], v. 10, n. 3, p. 383–389, 2019. </w:t>
      </w:r>
    </w:p>
    <w:p w14:paraId="61860A6A" w14:textId="77777777" w:rsidR="005F490D" w:rsidRPr="005F490D" w:rsidRDefault="005F490D" w:rsidP="00BE0591">
      <w:pPr>
        <w:pStyle w:val="Bibliografia"/>
        <w:spacing w:after="480"/>
        <w:rPr>
          <w:rFonts w:cs="Arial"/>
        </w:rPr>
      </w:pPr>
      <w:r w:rsidRPr="005F490D">
        <w:rPr>
          <w:rFonts w:cs="Arial"/>
        </w:rPr>
        <w:t xml:space="preserve">GÖKŞEN, A.; KOCAMAN, H.; YILDIRIM, H. </w:t>
      </w:r>
      <w:r w:rsidRPr="005F490D">
        <w:rPr>
          <w:rFonts w:cs="Arial"/>
          <w:b/>
          <w:bCs/>
        </w:rPr>
        <w:t>Reliability and Validity of the Back Pain and Body Posture Assessment Instrument in Adults with Disc Herniation</w:t>
      </w:r>
      <w:r w:rsidRPr="005F490D">
        <w:rPr>
          <w:rFonts w:cs="Arial"/>
        </w:rPr>
        <w:t xml:space="preserve">. </w:t>
      </w:r>
      <w:r w:rsidRPr="005F490D">
        <w:rPr>
          <w:rFonts w:cs="Arial"/>
          <w:b/>
          <w:bCs/>
        </w:rPr>
        <w:t>Turkiye Klinikleri Journal of Health Sciences</w:t>
      </w:r>
      <w:r w:rsidRPr="005F490D">
        <w:rPr>
          <w:rFonts w:cs="Arial"/>
        </w:rPr>
        <w:t xml:space="preserve">, 2023. </w:t>
      </w:r>
    </w:p>
    <w:p w14:paraId="6E4A5E7F" w14:textId="77777777" w:rsidR="005F490D" w:rsidRPr="005F490D" w:rsidRDefault="005F490D" w:rsidP="00BE0591">
      <w:pPr>
        <w:pStyle w:val="Bibliografia"/>
        <w:spacing w:after="480"/>
        <w:rPr>
          <w:rFonts w:cs="Arial"/>
        </w:rPr>
      </w:pPr>
      <w:r w:rsidRPr="005F490D">
        <w:rPr>
          <w:rFonts w:cs="Arial"/>
        </w:rPr>
        <w:t xml:space="preserve">LORENTE, S. </w:t>
      </w:r>
      <w:r w:rsidRPr="005F490D">
        <w:rPr>
          <w:rFonts w:cs="Arial"/>
          <w:i/>
          <w:iCs/>
        </w:rPr>
        <w:t>et al.</w:t>
      </w:r>
      <w:r w:rsidRPr="005F490D">
        <w:rPr>
          <w:rFonts w:cs="Arial"/>
        </w:rPr>
        <w:t xml:space="preserve"> Tools to assess the measurement properties of quality of life instruments: a meta-review. </w:t>
      </w:r>
      <w:r w:rsidRPr="005F490D">
        <w:rPr>
          <w:rFonts w:cs="Arial"/>
          <w:b/>
          <w:bCs/>
        </w:rPr>
        <w:t>BMJ open</w:t>
      </w:r>
      <w:r w:rsidRPr="005F490D">
        <w:rPr>
          <w:rFonts w:cs="Arial"/>
        </w:rPr>
        <w:t>, [</w:t>
      </w:r>
      <w:r w:rsidRPr="005F490D">
        <w:rPr>
          <w:rFonts w:cs="Arial"/>
          <w:i/>
          <w:iCs/>
        </w:rPr>
        <w:t>s. l.</w:t>
      </w:r>
      <w:r w:rsidRPr="005F490D">
        <w:rPr>
          <w:rFonts w:cs="Arial"/>
        </w:rPr>
        <w:t xml:space="preserve">], v. 10, n. 8, p. e036038, 2020. </w:t>
      </w:r>
    </w:p>
    <w:p w14:paraId="36180DBF" w14:textId="77777777" w:rsidR="005F490D" w:rsidRPr="005F490D" w:rsidRDefault="005F490D" w:rsidP="00BE0591">
      <w:pPr>
        <w:pStyle w:val="Bibliografia"/>
        <w:spacing w:after="480"/>
        <w:rPr>
          <w:rFonts w:cs="Arial"/>
        </w:rPr>
      </w:pPr>
      <w:r w:rsidRPr="005F490D">
        <w:rPr>
          <w:rFonts w:cs="Arial"/>
        </w:rPr>
        <w:t xml:space="preserve">MELO-MARINS, D. de; CARVALHO, R. G. da S.; GOMES, L. E. </w:t>
      </w:r>
      <w:r w:rsidRPr="005F490D">
        <w:rPr>
          <w:rFonts w:cs="Arial"/>
          <w:b/>
          <w:bCs/>
        </w:rPr>
        <w:t>Weight of school material and back pain in students leaving their books at school</w:t>
      </w:r>
      <w:r w:rsidRPr="005F490D">
        <w:rPr>
          <w:rFonts w:cs="Arial"/>
        </w:rPr>
        <w:t xml:space="preserve">. </w:t>
      </w:r>
      <w:r w:rsidRPr="005F490D">
        <w:rPr>
          <w:rFonts w:cs="Arial"/>
          <w:b/>
          <w:bCs/>
        </w:rPr>
        <w:t>Revista Dor</w:t>
      </w:r>
      <w:r w:rsidRPr="005F490D">
        <w:rPr>
          <w:rFonts w:cs="Arial"/>
        </w:rPr>
        <w:t xml:space="preserve">["Melo-Marins, Denise de; Universidade Federal do Vale do São Francisco. Petrolina. BR", “Carvalho, Rodrigo Gustavo da Silva; Universidade Federal do Vale do São Francisco. Petrolina. BR”, “Gomes, Lara Elena; Universidade Federal do Vale do São Francisco. Petrolina. BR”], 2015. </w:t>
      </w:r>
    </w:p>
    <w:p w14:paraId="53D42988" w14:textId="77777777" w:rsidR="005F490D" w:rsidRPr="005F490D" w:rsidRDefault="005F490D" w:rsidP="00BE0591">
      <w:pPr>
        <w:pStyle w:val="Bibliografia"/>
        <w:spacing w:after="480"/>
        <w:rPr>
          <w:rFonts w:cs="Arial"/>
        </w:rPr>
      </w:pPr>
      <w:r w:rsidRPr="005F490D">
        <w:rPr>
          <w:rFonts w:cs="Arial"/>
        </w:rPr>
        <w:t xml:space="preserve">MIÑANA-SIGNES, V. </w:t>
      </w:r>
      <w:r w:rsidRPr="005F490D">
        <w:rPr>
          <w:rFonts w:cs="Arial"/>
          <w:i/>
          <w:iCs/>
        </w:rPr>
        <w:t>et al.</w:t>
      </w:r>
      <w:r w:rsidRPr="005F490D">
        <w:rPr>
          <w:rFonts w:cs="Arial"/>
        </w:rPr>
        <w:t xml:space="preserve"> Cross-Cultural Adaptation and Reliability of the Back Pain and Body Posture Evaluation Instrument (BackPEI) to the Spanish Adolescent Population. </w:t>
      </w:r>
      <w:r w:rsidRPr="005F490D">
        <w:rPr>
          <w:rFonts w:cs="Arial"/>
          <w:b/>
          <w:bCs/>
        </w:rPr>
        <w:t>International Journal of Environmental Research and Public Health</w:t>
      </w:r>
      <w:r w:rsidRPr="005F490D">
        <w:rPr>
          <w:rFonts w:cs="Arial"/>
        </w:rPr>
        <w:t>, [</w:t>
      </w:r>
      <w:r w:rsidRPr="005F490D">
        <w:rPr>
          <w:rFonts w:cs="Arial"/>
          <w:i/>
          <w:iCs/>
        </w:rPr>
        <w:t>s. l.</w:t>
      </w:r>
      <w:r w:rsidRPr="005F490D">
        <w:rPr>
          <w:rFonts w:cs="Arial"/>
        </w:rPr>
        <w:t xml:space="preserve">], v. 18, n. 3, p. 854, 2021. </w:t>
      </w:r>
    </w:p>
    <w:p w14:paraId="0D4A3BBF" w14:textId="77777777" w:rsidR="005F490D" w:rsidRPr="005F490D" w:rsidRDefault="005F490D" w:rsidP="00BE0591">
      <w:pPr>
        <w:pStyle w:val="Bibliografia"/>
        <w:spacing w:after="480"/>
        <w:rPr>
          <w:rFonts w:cs="Arial"/>
        </w:rPr>
      </w:pPr>
      <w:r w:rsidRPr="005F490D">
        <w:rPr>
          <w:rFonts w:cs="Arial"/>
        </w:rPr>
        <w:t xml:space="preserve">MOKKINK, L. B. </w:t>
      </w:r>
      <w:r w:rsidRPr="005F490D">
        <w:rPr>
          <w:rFonts w:cs="Arial"/>
          <w:i/>
          <w:iCs/>
        </w:rPr>
        <w:t>et al.</w:t>
      </w:r>
      <w:r w:rsidRPr="005F490D">
        <w:rPr>
          <w:rFonts w:cs="Arial"/>
        </w:rPr>
        <w:t xml:space="preserve"> </w:t>
      </w:r>
      <w:r w:rsidRPr="005F490D">
        <w:rPr>
          <w:rFonts w:cs="Arial"/>
          <w:b/>
          <w:bCs/>
        </w:rPr>
        <w:t>COSMIN Study Design checklist for Patient-reported outcome measurement instruments</w:t>
      </w:r>
      <w:r w:rsidRPr="005F490D">
        <w:rPr>
          <w:rFonts w:cs="Arial"/>
        </w:rPr>
        <w:t>. [</w:t>
      </w:r>
      <w:r w:rsidRPr="005F490D">
        <w:rPr>
          <w:rFonts w:cs="Arial"/>
          <w:i/>
          <w:iCs/>
        </w:rPr>
        <w:t>S. l.: s. n.</w:t>
      </w:r>
      <w:r w:rsidRPr="005F490D">
        <w:rPr>
          <w:rFonts w:cs="Arial"/>
        </w:rPr>
        <w:t xml:space="preserve">], 2019. </w:t>
      </w:r>
    </w:p>
    <w:p w14:paraId="73E2D318" w14:textId="77777777" w:rsidR="005F490D" w:rsidRPr="005F490D" w:rsidRDefault="005F490D" w:rsidP="00BE0591">
      <w:pPr>
        <w:pStyle w:val="Bibliografia"/>
        <w:spacing w:after="480"/>
        <w:rPr>
          <w:rFonts w:cs="Arial"/>
        </w:rPr>
      </w:pPr>
      <w:r w:rsidRPr="005F490D">
        <w:rPr>
          <w:rFonts w:cs="Arial"/>
        </w:rPr>
        <w:lastRenderedPageBreak/>
        <w:t xml:space="preserve">MOKKINK, Lidwine B. </w:t>
      </w:r>
      <w:r w:rsidRPr="005F490D">
        <w:rPr>
          <w:rFonts w:cs="Arial"/>
          <w:i/>
          <w:iCs/>
        </w:rPr>
        <w:t>et al.</w:t>
      </w:r>
      <w:r w:rsidRPr="005F490D">
        <w:rPr>
          <w:rFonts w:cs="Arial"/>
        </w:rPr>
        <w:t xml:space="preserve"> The COSMIN checklist for assessing the methodological quality of studies on measurement properties of health status measurement instruments: An international Delphi study. </w:t>
      </w:r>
      <w:r w:rsidRPr="005F490D">
        <w:rPr>
          <w:rFonts w:cs="Arial"/>
          <w:b/>
          <w:bCs/>
        </w:rPr>
        <w:t>Quality of Life Research</w:t>
      </w:r>
      <w:r w:rsidRPr="005F490D">
        <w:rPr>
          <w:rFonts w:cs="Arial"/>
        </w:rPr>
        <w:t>, [</w:t>
      </w:r>
      <w:r w:rsidRPr="005F490D">
        <w:rPr>
          <w:rFonts w:cs="Arial"/>
          <w:i/>
          <w:iCs/>
        </w:rPr>
        <w:t>s. l.</w:t>
      </w:r>
      <w:r w:rsidRPr="005F490D">
        <w:rPr>
          <w:rFonts w:cs="Arial"/>
        </w:rPr>
        <w:t xml:space="preserve">], v. 19, n. 4, p. 539–549, 2010. </w:t>
      </w:r>
    </w:p>
    <w:p w14:paraId="5FC92F36" w14:textId="77777777" w:rsidR="005F490D" w:rsidRPr="005F490D" w:rsidRDefault="005F490D" w:rsidP="00BE0591">
      <w:pPr>
        <w:pStyle w:val="Bibliografia"/>
        <w:spacing w:after="480"/>
        <w:rPr>
          <w:rFonts w:cs="Arial"/>
        </w:rPr>
      </w:pPr>
      <w:r w:rsidRPr="005F490D">
        <w:rPr>
          <w:rFonts w:cs="Arial"/>
        </w:rPr>
        <w:t xml:space="preserve">MOKKINK, Lidwine B </w:t>
      </w:r>
      <w:r w:rsidRPr="005F490D">
        <w:rPr>
          <w:rFonts w:cs="Arial"/>
          <w:i/>
          <w:iCs/>
        </w:rPr>
        <w:t>et al.</w:t>
      </w:r>
      <w:r w:rsidRPr="005F490D">
        <w:rPr>
          <w:rFonts w:cs="Arial"/>
        </w:rPr>
        <w:t xml:space="preserve"> The COSMIN checklist for evaluating the methodological quality of studies on measurement properties: A clarification of its content. </w:t>
      </w:r>
      <w:r w:rsidRPr="005F490D">
        <w:rPr>
          <w:rFonts w:cs="Arial"/>
          <w:b/>
          <w:bCs/>
        </w:rPr>
        <w:t>BMC Medical Research Methodology</w:t>
      </w:r>
      <w:r w:rsidRPr="005F490D">
        <w:rPr>
          <w:rFonts w:cs="Arial"/>
        </w:rPr>
        <w:t>, [</w:t>
      </w:r>
      <w:r w:rsidRPr="005F490D">
        <w:rPr>
          <w:rFonts w:cs="Arial"/>
          <w:i/>
          <w:iCs/>
        </w:rPr>
        <w:t>s. l.</w:t>
      </w:r>
      <w:r w:rsidRPr="005F490D">
        <w:rPr>
          <w:rFonts w:cs="Arial"/>
        </w:rPr>
        <w:t xml:space="preserve">], v. 10, n. 1, p. 22, 2010. </w:t>
      </w:r>
    </w:p>
    <w:p w14:paraId="44250F3F" w14:textId="77777777" w:rsidR="005F490D" w:rsidRPr="005F490D" w:rsidRDefault="005F490D" w:rsidP="00BE0591">
      <w:pPr>
        <w:pStyle w:val="Bibliografia"/>
        <w:spacing w:after="480"/>
        <w:rPr>
          <w:rFonts w:cs="Arial"/>
        </w:rPr>
      </w:pPr>
      <w:r w:rsidRPr="005F490D">
        <w:rPr>
          <w:rFonts w:cs="Arial"/>
        </w:rPr>
        <w:t xml:space="preserve">MOKKINK, L B </w:t>
      </w:r>
      <w:r w:rsidRPr="005F490D">
        <w:rPr>
          <w:rFonts w:cs="Arial"/>
          <w:i/>
          <w:iCs/>
        </w:rPr>
        <w:t>et al.</w:t>
      </w:r>
      <w:r w:rsidRPr="005F490D">
        <w:rPr>
          <w:rFonts w:cs="Arial"/>
        </w:rPr>
        <w:t xml:space="preserve"> The COSMIN study reached international consensus on taxonomy, terminology, and definitions of measurement properties for health-related patient-reported outcomes. </w:t>
      </w:r>
      <w:r w:rsidRPr="005F490D">
        <w:rPr>
          <w:rFonts w:cs="Arial"/>
          <w:b/>
          <w:bCs/>
        </w:rPr>
        <w:t>Journal of Clinical Epidemiology</w:t>
      </w:r>
      <w:r w:rsidRPr="005F490D">
        <w:rPr>
          <w:rFonts w:cs="Arial"/>
        </w:rPr>
        <w:t>, [</w:t>
      </w:r>
      <w:r w:rsidRPr="005F490D">
        <w:rPr>
          <w:rFonts w:cs="Arial"/>
          <w:i/>
          <w:iCs/>
        </w:rPr>
        <w:t>s. l.</w:t>
      </w:r>
      <w:r w:rsidRPr="005F490D">
        <w:rPr>
          <w:rFonts w:cs="Arial"/>
        </w:rPr>
        <w:t xml:space="preserve">], v. 63, n. 7, p. 737–745, 2010. </w:t>
      </w:r>
    </w:p>
    <w:p w14:paraId="5CC6BB8D" w14:textId="77777777" w:rsidR="005F490D" w:rsidRPr="005F490D" w:rsidRDefault="005F490D" w:rsidP="00BE0591">
      <w:pPr>
        <w:pStyle w:val="Bibliografia"/>
        <w:spacing w:after="480"/>
        <w:rPr>
          <w:rFonts w:cs="Arial"/>
        </w:rPr>
      </w:pPr>
      <w:r w:rsidRPr="005F490D">
        <w:rPr>
          <w:rFonts w:cs="Arial"/>
        </w:rPr>
        <w:t xml:space="preserve">NIARADI, F. dos S. L.; NIARADI, M. F. dos S. L.; GASPARETTO, M. E. R. F. </w:t>
      </w:r>
      <w:r w:rsidRPr="005F490D">
        <w:rPr>
          <w:rFonts w:cs="Arial"/>
          <w:b/>
          <w:bCs/>
        </w:rPr>
        <w:t>Effect of Eutony, Holistic Gymnastics and Pilates on hamstring flexibility and back pain in pre-adolescent girls: Randomized clinical trial</w:t>
      </w:r>
      <w:r w:rsidRPr="005F490D">
        <w:rPr>
          <w:rFonts w:cs="Arial"/>
        </w:rPr>
        <w:t xml:space="preserve">. </w:t>
      </w:r>
      <w:r w:rsidRPr="005F490D">
        <w:rPr>
          <w:rFonts w:cs="Arial"/>
          <w:b/>
          <w:bCs/>
        </w:rPr>
        <w:t>Journal of bBodywork and Movement Therapies</w:t>
      </w:r>
      <w:r w:rsidRPr="005F490D">
        <w:rPr>
          <w:rFonts w:cs="Arial"/>
        </w:rPr>
        <w:t xml:space="preserve">United States, 2024. </w:t>
      </w:r>
    </w:p>
    <w:p w14:paraId="4F15FDFE" w14:textId="77777777" w:rsidR="005F490D" w:rsidRPr="005F490D" w:rsidRDefault="005F490D" w:rsidP="00BE0591">
      <w:pPr>
        <w:pStyle w:val="Bibliografia"/>
        <w:spacing w:after="480"/>
        <w:rPr>
          <w:rFonts w:cs="Arial"/>
        </w:rPr>
      </w:pPr>
      <w:r w:rsidRPr="005F490D">
        <w:rPr>
          <w:rFonts w:cs="Arial"/>
        </w:rPr>
        <w:t xml:space="preserve">NOLL, M. </w:t>
      </w:r>
      <w:r w:rsidRPr="005F490D">
        <w:rPr>
          <w:rFonts w:cs="Arial"/>
          <w:i/>
          <w:iCs/>
        </w:rPr>
        <w:t>et al.</w:t>
      </w:r>
      <w:r w:rsidRPr="005F490D">
        <w:rPr>
          <w:rFonts w:cs="Arial"/>
        </w:rPr>
        <w:t xml:space="preserve"> Back pain and behavioral habits of high school students: a comparative study of two Brazil’s regions. </w:t>
      </w:r>
      <w:r w:rsidRPr="005F490D">
        <w:rPr>
          <w:rFonts w:cs="Arial"/>
          <w:b/>
          <w:bCs/>
        </w:rPr>
        <w:t>Revista Brasileira de Reumatologia (English Edition)</w:t>
      </w:r>
      <w:r w:rsidRPr="005F490D">
        <w:rPr>
          <w:rFonts w:cs="Arial"/>
        </w:rPr>
        <w:t>, [</w:t>
      </w:r>
      <w:r w:rsidRPr="005F490D">
        <w:rPr>
          <w:rFonts w:cs="Arial"/>
          <w:i/>
          <w:iCs/>
        </w:rPr>
        <w:t>s. l.</w:t>
      </w:r>
      <w:r w:rsidRPr="005F490D">
        <w:rPr>
          <w:rFonts w:cs="Arial"/>
        </w:rPr>
        <w:t xml:space="preserve">], v. 57, n. 5, p. 495–499, 2017. </w:t>
      </w:r>
    </w:p>
    <w:p w14:paraId="19BDD716" w14:textId="77777777" w:rsidR="005F490D" w:rsidRPr="005F490D" w:rsidRDefault="005F490D" w:rsidP="00BE0591">
      <w:pPr>
        <w:pStyle w:val="Bibliografia"/>
        <w:spacing w:after="480"/>
        <w:rPr>
          <w:rFonts w:cs="Arial"/>
        </w:rPr>
      </w:pPr>
      <w:r w:rsidRPr="005F490D">
        <w:rPr>
          <w:rFonts w:cs="Arial"/>
        </w:rPr>
        <w:t xml:space="preserve">NOLL, M. </w:t>
      </w:r>
      <w:r w:rsidRPr="005F490D">
        <w:rPr>
          <w:rFonts w:cs="Arial"/>
          <w:i/>
          <w:iCs/>
        </w:rPr>
        <w:t>et al.</w:t>
      </w:r>
      <w:r w:rsidRPr="005F490D">
        <w:rPr>
          <w:rFonts w:cs="Arial"/>
        </w:rPr>
        <w:t xml:space="preserve"> Back Pain and Body Posture Evaluation Instrument (BackPEI): development, content validation and reproducibility. </w:t>
      </w:r>
      <w:r w:rsidRPr="005F490D">
        <w:rPr>
          <w:rFonts w:cs="Arial"/>
          <w:b/>
          <w:bCs/>
        </w:rPr>
        <w:t>International Journal of Public Health</w:t>
      </w:r>
      <w:r w:rsidRPr="005F490D">
        <w:rPr>
          <w:rFonts w:cs="Arial"/>
        </w:rPr>
        <w:t>, [</w:t>
      </w:r>
      <w:r w:rsidRPr="005F490D">
        <w:rPr>
          <w:rFonts w:cs="Arial"/>
          <w:i/>
          <w:iCs/>
        </w:rPr>
        <w:t>s. l.</w:t>
      </w:r>
      <w:r w:rsidRPr="005F490D">
        <w:rPr>
          <w:rFonts w:cs="Arial"/>
        </w:rPr>
        <w:t xml:space="preserve">], v. 58, n. 4, p. 565–572, 2013a. </w:t>
      </w:r>
    </w:p>
    <w:p w14:paraId="22F12A5B" w14:textId="77777777" w:rsidR="005F490D" w:rsidRPr="005F490D" w:rsidRDefault="005F490D" w:rsidP="00BE0591">
      <w:pPr>
        <w:pStyle w:val="Bibliografia"/>
        <w:spacing w:after="480"/>
        <w:rPr>
          <w:rFonts w:cs="Arial"/>
        </w:rPr>
      </w:pPr>
      <w:r w:rsidRPr="005F490D">
        <w:rPr>
          <w:rFonts w:cs="Arial"/>
        </w:rPr>
        <w:t xml:space="preserve">NOLL, M. </w:t>
      </w:r>
      <w:r w:rsidRPr="005F490D">
        <w:rPr>
          <w:rFonts w:cs="Arial"/>
          <w:i/>
          <w:iCs/>
        </w:rPr>
        <w:t>et al.</w:t>
      </w:r>
      <w:r w:rsidRPr="005F490D">
        <w:rPr>
          <w:rFonts w:cs="Arial"/>
        </w:rPr>
        <w:t xml:space="preserve"> Back pain and the postural and behavioral habits of students in the municipal school network of Teutônia, Rio Grande do Sul. </w:t>
      </w:r>
      <w:r w:rsidRPr="005F490D">
        <w:rPr>
          <w:rFonts w:cs="Arial"/>
          <w:b/>
          <w:bCs/>
        </w:rPr>
        <w:t>Journal of Human Growth and Development</w:t>
      </w:r>
      <w:r w:rsidRPr="005F490D">
        <w:rPr>
          <w:rFonts w:cs="Arial"/>
        </w:rPr>
        <w:t>, [</w:t>
      </w:r>
      <w:r w:rsidRPr="005F490D">
        <w:rPr>
          <w:rFonts w:cs="Arial"/>
          <w:i/>
          <w:iCs/>
        </w:rPr>
        <w:t>s. l.</w:t>
      </w:r>
      <w:r w:rsidRPr="005F490D">
        <w:rPr>
          <w:rFonts w:cs="Arial"/>
        </w:rPr>
        <w:t xml:space="preserve">], v. 23, n. 2, p. 1–7, 2013b. </w:t>
      </w:r>
    </w:p>
    <w:p w14:paraId="18F2A3DA" w14:textId="77777777" w:rsidR="005F490D" w:rsidRPr="005F490D" w:rsidRDefault="005F490D" w:rsidP="00BE0591">
      <w:pPr>
        <w:pStyle w:val="Bibliografia"/>
        <w:spacing w:after="480"/>
        <w:rPr>
          <w:rFonts w:cs="Arial"/>
        </w:rPr>
      </w:pPr>
      <w:r w:rsidRPr="005F490D">
        <w:rPr>
          <w:rFonts w:cs="Arial"/>
        </w:rPr>
        <w:t xml:space="preserve">NOLL, M. </w:t>
      </w:r>
      <w:r w:rsidRPr="005F490D">
        <w:rPr>
          <w:rFonts w:cs="Arial"/>
          <w:i/>
          <w:iCs/>
        </w:rPr>
        <w:t>et al.</w:t>
      </w:r>
      <w:r w:rsidRPr="005F490D">
        <w:rPr>
          <w:rFonts w:cs="Arial"/>
        </w:rPr>
        <w:t xml:space="preserve"> </w:t>
      </w:r>
      <w:r w:rsidRPr="005F490D">
        <w:rPr>
          <w:rFonts w:cs="Arial"/>
          <w:b/>
          <w:bCs/>
        </w:rPr>
        <w:t>Back pain prevalence and its associated factors in Brazilian athletes from public high schools: A cross-sectional study</w:t>
      </w:r>
      <w:r w:rsidRPr="005F490D">
        <w:rPr>
          <w:rFonts w:cs="Arial"/>
        </w:rPr>
        <w:t xml:space="preserve">. </w:t>
      </w:r>
      <w:r w:rsidRPr="005F490D">
        <w:rPr>
          <w:rFonts w:cs="Arial"/>
          <w:b/>
          <w:bCs/>
        </w:rPr>
        <w:t>PLoS ONE</w:t>
      </w:r>
      <w:r w:rsidRPr="005F490D">
        <w:rPr>
          <w:rFonts w:cs="Arial"/>
        </w:rPr>
        <w:t xml:space="preserve">["Bioengineering and Biomechanics Laboratory, Universidade Federal de Goiás, Goiania, Goiás, Brazil", “Instituto Federal Goiano-Campus Ceres, Ceres, Goiás, Brazil”], 2016. </w:t>
      </w:r>
    </w:p>
    <w:p w14:paraId="2F849DEA" w14:textId="77777777" w:rsidR="005F490D" w:rsidRPr="005F490D" w:rsidRDefault="005F490D" w:rsidP="00BE0591">
      <w:pPr>
        <w:pStyle w:val="Bibliografia"/>
        <w:spacing w:after="480"/>
        <w:rPr>
          <w:rFonts w:cs="Arial"/>
        </w:rPr>
      </w:pPr>
      <w:r w:rsidRPr="005F490D">
        <w:rPr>
          <w:rFonts w:cs="Arial"/>
        </w:rPr>
        <w:t xml:space="preserve">OZDEMIR, S. </w:t>
      </w:r>
      <w:r w:rsidRPr="005F490D">
        <w:rPr>
          <w:rFonts w:cs="Arial"/>
          <w:i/>
          <w:iCs/>
        </w:rPr>
        <w:t>et al.</w:t>
      </w:r>
      <w:r w:rsidRPr="005F490D">
        <w:rPr>
          <w:rFonts w:cs="Arial"/>
        </w:rPr>
        <w:t xml:space="preserve"> </w:t>
      </w:r>
      <w:r w:rsidRPr="005F490D">
        <w:rPr>
          <w:rFonts w:cs="Arial"/>
          <w:b/>
          <w:bCs/>
        </w:rPr>
        <w:t>Musculoskeletal Pain, Related Factors, and Posture Profiles Among Adolescents: A Cross-Sectional Study From Turkey</w:t>
      </w:r>
      <w:r w:rsidRPr="005F490D">
        <w:rPr>
          <w:rFonts w:cs="Arial"/>
        </w:rPr>
        <w:t xml:space="preserve">. </w:t>
      </w:r>
      <w:r w:rsidRPr="005F490D">
        <w:rPr>
          <w:rFonts w:cs="Arial"/>
          <w:b/>
          <w:bCs/>
        </w:rPr>
        <w:t>Pain Management Nursing</w:t>
      </w:r>
      <w:r w:rsidRPr="005F490D">
        <w:rPr>
          <w:rFonts w:cs="Arial"/>
        </w:rPr>
        <w:t xml:space="preserve">United States, 2021. </w:t>
      </w:r>
    </w:p>
    <w:p w14:paraId="0DAAEAEF" w14:textId="77777777" w:rsidR="005F490D" w:rsidRPr="005F490D" w:rsidRDefault="005F490D" w:rsidP="00BE0591">
      <w:pPr>
        <w:pStyle w:val="Bibliografia"/>
        <w:spacing w:after="480"/>
        <w:rPr>
          <w:rFonts w:cs="Arial"/>
        </w:rPr>
      </w:pPr>
      <w:r w:rsidRPr="005F490D">
        <w:rPr>
          <w:rFonts w:cs="Arial"/>
        </w:rPr>
        <w:t xml:space="preserve">PETERS, M. D. </w:t>
      </w:r>
      <w:r w:rsidRPr="005F490D">
        <w:rPr>
          <w:rFonts w:cs="Arial"/>
          <w:i/>
          <w:iCs/>
        </w:rPr>
        <w:t>et al.</w:t>
      </w:r>
      <w:r w:rsidRPr="005F490D">
        <w:rPr>
          <w:rFonts w:cs="Arial"/>
        </w:rPr>
        <w:t xml:space="preserve"> Chapter 11: Scoping Reviews (2020 version). </w:t>
      </w:r>
      <w:r w:rsidRPr="005F490D">
        <w:rPr>
          <w:rFonts w:cs="Arial"/>
          <w:i/>
          <w:iCs/>
        </w:rPr>
        <w:t>In</w:t>
      </w:r>
      <w:r w:rsidRPr="005F490D">
        <w:rPr>
          <w:rFonts w:cs="Arial"/>
        </w:rPr>
        <w:t>: JBI MANUAL FOR EVIDENCE SYNTHESIS. [</w:t>
      </w:r>
      <w:r w:rsidRPr="005F490D">
        <w:rPr>
          <w:rFonts w:cs="Arial"/>
          <w:i/>
          <w:iCs/>
        </w:rPr>
        <w:t>S. l.</w:t>
      </w:r>
      <w:r w:rsidRPr="005F490D">
        <w:rPr>
          <w:rFonts w:cs="Arial"/>
        </w:rPr>
        <w:t xml:space="preserve">]: JBI, 2020. </w:t>
      </w:r>
    </w:p>
    <w:p w14:paraId="71038CE4" w14:textId="77777777" w:rsidR="005F490D" w:rsidRPr="005F490D" w:rsidRDefault="005F490D" w:rsidP="00BE0591">
      <w:pPr>
        <w:pStyle w:val="Bibliografia"/>
        <w:spacing w:after="480"/>
        <w:rPr>
          <w:rFonts w:cs="Arial"/>
        </w:rPr>
      </w:pPr>
      <w:r w:rsidRPr="005F490D">
        <w:rPr>
          <w:rFonts w:cs="Arial"/>
        </w:rPr>
        <w:lastRenderedPageBreak/>
        <w:t xml:space="preserve">PIVOTTO, L. R. </w:t>
      </w:r>
      <w:r w:rsidRPr="005F490D">
        <w:rPr>
          <w:rFonts w:cs="Arial"/>
          <w:i/>
          <w:iCs/>
        </w:rPr>
        <w:t>et al.</w:t>
      </w:r>
      <w:r w:rsidRPr="005F490D">
        <w:rPr>
          <w:rFonts w:cs="Arial"/>
        </w:rPr>
        <w:t xml:space="preserve"> Proposition of a General Scoring System to the BackPEI. </w:t>
      </w:r>
      <w:r w:rsidRPr="005F490D">
        <w:rPr>
          <w:rFonts w:cs="Arial"/>
          <w:b/>
          <w:bCs/>
        </w:rPr>
        <w:t>Journal of Head Neck &amp; Spine Surgery</w:t>
      </w:r>
      <w:r w:rsidRPr="005F490D">
        <w:rPr>
          <w:rFonts w:cs="Arial"/>
        </w:rPr>
        <w:t>, [</w:t>
      </w:r>
      <w:r w:rsidRPr="005F490D">
        <w:rPr>
          <w:rFonts w:cs="Arial"/>
          <w:i/>
          <w:iCs/>
        </w:rPr>
        <w:t>s. l.</w:t>
      </w:r>
      <w:r w:rsidRPr="005F490D">
        <w:rPr>
          <w:rFonts w:cs="Arial"/>
        </w:rPr>
        <w:t>], v. 3, n. 4, 2018. Disponível em: https://juniperpublishers.com/jhnss/JHNSS.MS.ID.555618.php. Acesso em: 27 maio 2022.</w:t>
      </w:r>
    </w:p>
    <w:p w14:paraId="3040FE44" w14:textId="77777777" w:rsidR="005F490D" w:rsidRPr="005F490D" w:rsidRDefault="005F490D" w:rsidP="00BE0591">
      <w:pPr>
        <w:pStyle w:val="Bibliografia"/>
        <w:spacing w:after="480"/>
        <w:rPr>
          <w:rFonts w:cs="Arial"/>
        </w:rPr>
      </w:pPr>
      <w:r w:rsidRPr="005F490D">
        <w:rPr>
          <w:rFonts w:cs="Arial"/>
        </w:rPr>
        <w:t xml:space="preserve">PRINSEN, C. A. C. </w:t>
      </w:r>
      <w:r w:rsidRPr="005F490D">
        <w:rPr>
          <w:rFonts w:cs="Arial"/>
          <w:i/>
          <w:iCs/>
        </w:rPr>
        <w:t>et al.</w:t>
      </w:r>
      <w:r w:rsidRPr="005F490D">
        <w:rPr>
          <w:rFonts w:cs="Arial"/>
        </w:rPr>
        <w:t xml:space="preserve"> COSMIN guideline for systematic reviews of patient-reported outcome measures. </w:t>
      </w:r>
      <w:r w:rsidRPr="005F490D">
        <w:rPr>
          <w:rFonts w:cs="Arial"/>
          <w:b/>
          <w:bCs/>
        </w:rPr>
        <w:t>Quality of Life Research</w:t>
      </w:r>
      <w:r w:rsidRPr="005F490D">
        <w:rPr>
          <w:rFonts w:cs="Arial"/>
        </w:rPr>
        <w:t>, [</w:t>
      </w:r>
      <w:r w:rsidRPr="005F490D">
        <w:rPr>
          <w:rFonts w:cs="Arial"/>
          <w:i/>
          <w:iCs/>
        </w:rPr>
        <w:t>s. l.</w:t>
      </w:r>
      <w:r w:rsidRPr="005F490D">
        <w:rPr>
          <w:rFonts w:cs="Arial"/>
        </w:rPr>
        <w:t xml:space="preserve">], v. 27, n. 5, p. 1147–1157, 2018. </w:t>
      </w:r>
    </w:p>
    <w:p w14:paraId="48673EDC" w14:textId="77777777" w:rsidR="005F490D" w:rsidRPr="005F490D" w:rsidRDefault="005F490D" w:rsidP="00BE0591">
      <w:pPr>
        <w:pStyle w:val="Bibliografia"/>
        <w:spacing w:after="480"/>
        <w:rPr>
          <w:rFonts w:cs="Arial"/>
        </w:rPr>
      </w:pPr>
      <w:r w:rsidRPr="005F490D">
        <w:rPr>
          <w:rFonts w:cs="Arial"/>
        </w:rPr>
        <w:t xml:space="preserve">TERWEE, C. B. </w:t>
      </w:r>
      <w:r w:rsidRPr="005F490D">
        <w:rPr>
          <w:rFonts w:cs="Arial"/>
          <w:i/>
          <w:iCs/>
        </w:rPr>
        <w:t>et al.</w:t>
      </w:r>
      <w:r w:rsidRPr="005F490D">
        <w:rPr>
          <w:rFonts w:cs="Arial"/>
        </w:rPr>
        <w:t xml:space="preserve"> The quality of systematic reviews of health-related outcome measurement instruments. </w:t>
      </w:r>
      <w:r w:rsidRPr="005F490D">
        <w:rPr>
          <w:rFonts w:cs="Arial"/>
          <w:b/>
          <w:bCs/>
        </w:rPr>
        <w:t>Quality of Life Research</w:t>
      </w:r>
      <w:r w:rsidRPr="005F490D">
        <w:rPr>
          <w:rFonts w:cs="Arial"/>
        </w:rPr>
        <w:t>, [</w:t>
      </w:r>
      <w:r w:rsidRPr="005F490D">
        <w:rPr>
          <w:rFonts w:cs="Arial"/>
          <w:i/>
          <w:iCs/>
        </w:rPr>
        <w:t>s. l.</w:t>
      </w:r>
      <w:r w:rsidRPr="005F490D">
        <w:rPr>
          <w:rFonts w:cs="Arial"/>
        </w:rPr>
        <w:t xml:space="preserve">], v. 25, n. 4, p. 767–779, 2016. </w:t>
      </w:r>
    </w:p>
    <w:p w14:paraId="3BE354B0" w14:textId="77777777" w:rsidR="005F490D" w:rsidRPr="005F490D" w:rsidRDefault="005F490D" w:rsidP="00BE0591">
      <w:pPr>
        <w:pStyle w:val="Bibliografia"/>
        <w:spacing w:after="480"/>
        <w:rPr>
          <w:rFonts w:cs="Arial"/>
        </w:rPr>
      </w:pPr>
      <w:r w:rsidRPr="005F490D">
        <w:rPr>
          <w:rFonts w:cs="Arial"/>
        </w:rPr>
        <w:t xml:space="preserve">THÉROUX, J. </w:t>
      </w:r>
      <w:r w:rsidRPr="005F490D">
        <w:rPr>
          <w:rFonts w:cs="Arial"/>
          <w:i/>
          <w:iCs/>
        </w:rPr>
        <w:t>et al.</w:t>
      </w:r>
      <w:r w:rsidRPr="005F490D">
        <w:rPr>
          <w:rFonts w:cs="Arial"/>
        </w:rPr>
        <w:t xml:space="preserve"> Revisiting the psychometric properties of the Scoliosis Research Society-22 (SRS-22) French version. </w:t>
      </w:r>
      <w:r w:rsidRPr="005F490D">
        <w:rPr>
          <w:rFonts w:cs="Arial"/>
          <w:b/>
          <w:bCs/>
        </w:rPr>
        <w:t>Scoliosis and Spinal Disorders</w:t>
      </w:r>
      <w:r w:rsidRPr="005F490D">
        <w:rPr>
          <w:rFonts w:cs="Arial"/>
        </w:rPr>
        <w:t>, [</w:t>
      </w:r>
      <w:r w:rsidRPr="005F490D">
        <w:rPr>
          <w:rFonts w:cs="Arial"/>
          <w:i/>
          <w:iCs/>
        </w:rPr>
        <w:t>s. l.</w:t>
      </w:r>
      <w:r w:rsidRPr="005F490D">
        <w:rPr>
          <w:rFonts w:cs="Arial"/>
        </w:rPr>
        <w:t xml:space="preserve">], v. 12, n. 1, p. 21, 2017. </w:t>
      </w:r>
    </w:p>
    <w:p w14:paraId="1B34CAD1" w14:textId="77777777" w:rsidR="005F490D" w:rsidRPr="005F490D" w:rsidRDefault="005F490D" w:rsidP="00BE0591">
      <w:pPr>
        <w:pStyle w:val="Bibliografia"/>
        <w:spacing w:after="480"/>
        <w:rPr>
          <w:rFonts w:cs="Arial"/>
        </w:rPr>
      </w:pPr>
      <w:r w:rsidRPr="005F490D">
        <w:rPr>
          <w:rFonts w:cs="Arial"/>
        </w:rPr>
        <w:t xml:space="preserve">TRICCO, A. C. </w:t>
      </w:r>
      <w:r w:rsidRPr="005F490D">
        <w:rPr>
          <w:rFonts w:cs="Arial"/>
          <w:i/>
          <w:iCs/>
        </w:rPr>
        <w:t>et al.</w:t>
      </w:r>
      <w:r w:rsidRPr="005F490D">
        <w:rPr>
          <w:rFonts w:cs="Arial"/>
        </w:rPr>
        <w:t xml:space="preserve"> PRISMA extension for scoping reviews (PRISMA-ScR): Checklist and explanation. </w:t>
      </w:r>
      <w:r w:rsidRPr="005F490D">
        <w:rPr>
          <w:rFonts w:cs="Arial"/>
          <w:b/>
          <w:bCs/>
        </w:rPr>
        <w:t>Annals of Internal Medicine</w:t>
      </w:r>
      <w:r w:rsidRPr="005F490D">
        <w:rPr>
          <w:rFonts w:cs="Arial"/>
        </w:rPr>
        <w:t>, [</w:t>
      </w:r>
      <w:r w:rsidRPr="005F490D">
        <w:rPr>
          <w:rFonts w:cs="Arial"/>
          <w:i/>
          <w:iCs/>
        </w:rPr>
        <w:t>s. l.</w:t>
      </w:r>
      <w:r w:rsidRPr="005F490D">
        <w:rPr>
          <w:rFonts w:cs="Arial"/>
        </w:rPr>
        <w:t xml:space="preserve">], v. 169, n. 7, p. 467–473, 2018. </w:t>
      </w:r>
    </w:p>
    <w:p w14:paraId="53557676" w14:textId="77777777" w:rsidR="005F490D" w:rsidRPr="005F490D" w:rsidRDefault="005F490D" w:rsidP="00BE0591">
      <w:pPr>
        <w:pStyle w:val="Bibliografia"/>
        <w:spacing w:after="480"/>
        <w:rPr>
          <w:rFonts w:cs="Arial"/>
        </w:rPr>
      </w:pPr>
      <w:r w:rsidRPr="005F490D">
        <w:rPr>
          <w:rFonts w:cs="Arial"/>
        </w:rPr>
        <w:t xml:space="preserve">URBINA, S. </w:t>
      </w:r>
      <w:r w:rsidRPr="005F490D">
        <w:rPr>
          <w:rFonts w:cs="Arial"/>
          <w:b/>
          <w:bCs/>
        </w:rPr>
        <w:t>Fundamentos Da Testagem Psicológica</w:t>
      </w:r>
      <w:r w:rsidRPr="005F490D">
        <w:rPr>
          <w:rFonts w:cs="Arial"/>
        </w:rPr>
        <w:t xml:space="preserve">. São Paulo: Artmed, 2007. </w:t>
      </w:r>
    </w:p>
    <w:p w14:paraId="10AE7219" w14:textId="77777777" w:rsidR="005F490D" w:rsidRPr="005F490D" w:rsidRDefault="005F490D" w:rsidP="00BE0591">
      <w:pPr>
        <w:pStyle w:val="Bibliografia"/>
        <w:spacing w:after="480"/>
        <w:rPr>
          <w:rFonts w:cs="Arial"/>
        </w:rPr>
      </w:pPr>
      <w:r w:rsidRPr="005F490D">
        <w:rPr>
          <w:rFonts w:cs="Arial"/>
        </w:rPr>
        <w:t xml:space="preserve">VIDAL-CONTI, J. </w:t>
      </w:r>
      <w:r w:rsidRPr="005F490D">
        <w:rPr>
          <w:rFonts w:cs="Arial"/>
          <w:i/>
          <w:iCs/>
        </w:rPr>
        <w:t>et al.</w:t>
      </w:r>
      <w:r w:rsidRPr="005F490D">
        <w:rPr>
          <w:rFonts w:cs="Arial"/>
        </w:rPr>
        <w:t xml:space="preserve"> </w:t>
      </w:r>
      <w:r w:rsidRPr="005F490D">
        <w:rPr>
          <w:rFonts w:cs="Arial"/>
          <w:b/>
          <w:bCs/>
        </w:rPr>
        <w:t>Effects of a postural education program on backpack use habits in schoolchildren: The PEPE Study</w:t>
      </w:r>
      <w:r w:rsidRPr="005F490D">
        <w:rPr>
          <w:rFonts w:cs="Arial"/>
        </w:rPr>
        <w:t xml:space="preserve">. </w:t>
      </w:r>
      <w:r w:rsidRPr="005F490D">
        <w:rPr>
          <w:rFonts w:cs="Arial"/>
          <w:b/>
          <w:bCs/>
        </w:rPr>
        <w:t>European Journal Of Human Movement</w:t>
      </w:r>
      <w:r w:rsidRPr="005F490D">
        <w:rPr>
          <w:rFonts w:cs="Arial"/>
        </w:rPr>
        <w:t xml:space="preserve">, 2023. </w:t>
      </w:r>
    </w:p>
    <w:p w14:paraId="0F5BEBC6" w14:textId="77777777" w:rsidR="005F490D" w:rsidRPr="005F490D" w:rsidRDefault="005F490D" w:rsidP="00BE0591">
      <w:pPr>
        <w:pStyle w:val="Bibliografia"/>
        <w:spacing w:after="480"/>
        <w:rPr>
          <w:rFonts w:cs="Arial"/>
        </w:rPr>
      </w:pPr>
      <w:r w:rsidRPr="005F490D">
        <w:rPr>
          <w:rFonts w:cs="Arial"/>
        </w:rPr>
        <w:t xml:space="preserve">VITMAN, N. </w:t>
      </w:r>
      <w:r w:rsidRPr="005F490D">
        <w:rPr>
          <w:rFonts w:cs="Arial"/>
          <w:i/>
          <w:iCs/>
        </w:rPr>
        <w:t>et al.</w:t>
      </w:r>
      <w:r w:rsidRPr="005F490D">
        <w:rPr>
          <w:rFonts w:cs="Arial"/>
        </w:rPr>
        <w:t xml:space="preserve"> </w:t>
      </w:r>
      <w:r w:rsidRPr="005F490D">
        <w:rPr>
          <w:rFonts w:cs="Arial"/>
          <w:b/>
          <w:bCs/>
        </w:rPr>
        <w:t>A Comparison between Different Types and Frequency of Physiotherapy Treatment for Children and Adolescents with Postural Problems and Low Back Pain</w:t>
      </w:r>
      <w:r w:rsidRPr="005F490D">
        <w:rPr>
          <w:rFonts w:cs="Arial"/>
        </w:rPr>
        <w:t xml:space="preserve">. </w:t>
      </w:r>
      <w:r w:rsidRPr="005F490D">
        <w:rPr>
          <w:rFonts w:cs="Arial"/>
          <w:b/>
          <w:bCs/>
        </w:rPr>
        <w:t>Physical and Occupational Therapy in Pediatrics</w:t>
      </w:r>
      <w:r w:rsidRPr="005F490D">
        <w:rPr>
          <w:rFonts w:cs="Arial"/>
        </w:rPr>
        <w:t xml:space="preserve">["Physiotherapy Clinic, Maccabi Health Services, Modi’in, Israel", “The Academic College at Wingate, Wingate Institute, Netanya, Israel”], 2022. </w:t>
      </w:r>
    </w:p>
    <w:p w14:paraId="5470B15E" w14:textId="77777777" w:rsidR="005F490D" w:rsidRPr="005F490D" w:rsidRDefault="005F490D" w:rsidP="00BE0591">
      <w:pPr>
        <w:pStyle w:val="Bibliografia"/>
        <w:spacing w:after="480"/>
        <w:rPr>
          <w:rFonts w:cs="Arial"/>
        </w:rPr>
      </w:pPr>
      <w:r w:rsidRPr="005F490D">
        <w:rPr>
          <w:rFonts w:cs="Arial"/>
        </w:rPr>
        <w:t xml:space="preserve">WEBSTER, J. G.; NIMUNKAR, A. J. </w:t>
      </w:r>
      <w:r w:rsidRPr="005F490D">
        <w:rPr>
          <w:rFonts w:cs="Arial"/>
          <w:b/>
          <w:bCs/>
        </w:rPr>
        <w:t>Medical instrumentation: application and design</w:t>
      </w:r>
      <w:r w:rsidRPr="005F490D">
        <w:rPr>
          <w:rFonts w:cs="Arial"/>
        </w:rPr>
        <w:t xml:space="preserve">. 5. ed. Hoboken: Wiley, 2020. </w:t>
      </w:r>
    </w:p>
    <w:p w14:paraId="1DC36688" w14:textId="22FBB05B" w:rsidR="005F490D" w:rsidRPr="005F490D" w:rsidRDefault="005F490D" w:rsidP="00BE0591">
      <w:pPr>
        <w:spacing w:after="480" w:line="240" w:lineRule="auto"/>
      </w:pPr>
      <w:r>
        <w:fldChar w:fldCharType="end"/>
      </w:r>
    </w:p>
    <w:sectPr w:rsidR="005F490D" w:rsidRPr="005F490D"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as Beraldo" w:date="2025-05-12T10:27:00Z" w:initials="LB">
    <w:p w14:paraId="43108CB1" w14:textId="593C5BD0" w:rsidR="009850FC" w:rsidRDefault="009850FC">
      <w:pPr>
        <w:pStyle w:val="Textodecomentrio"/>
      </w:pPr>
      <w:r>
        <w:rPr>
          <w:rStyle w:val="Refdecomentrio"/>
        </w:rPr>
        <w:annotationRef/>
      </w:r>
      <w:r>
        <w:t>Alterado</w:t>
      </w:r>
    </w:p>
  </w:comment>
  <w:comment w:id="10" w:author="Lucas Beraldo" w:date="2025-05-11T20:10:00Z" w:initials="LB">
    <w:p w14:paraId="23B38D7F" w14:textId="19B77FC6" w:rsidR="00CF043C" w:rsidRDefault="00CF043C" w:rsidP="00CF043C">
      <w:pPr>
        <w:pStyle w:val="Textodecomentrio"/>
      </w:pPr>
      <w:r>
        <w:rPr>
          <w:rStyle w:val="Refdecomentrio"/>
        </w:rPr>
        <w:annotationRef/>
      </w:r>
      <w:r>
        <w:t>Cuidar em apresentar a sigla</w:t>
      </w:r>
    </w:p>
  </w:comment>
  <w:comment w:id="13" w:author="Lucas Beraldo" w:date="2025-05-10T21:32:00Z" w:initials="LB">
    <w:p w14:paraId="66DB7A70" w14:textId="7D827274" w:rsidR="00BA2E67" w:rsidRDefault="00BA2E67">
      <w:pPr>
        <w:pStyle w:val="Textodecomentrio"/>
      </w:pPr>
      <w:r>
        <w:rPr>
          <w:rStyle w:val="Refdecomentrio"/>
        </w:rPr>
        <w:annotationRef/>
      </w:r>
      <w:r>
        <w:t>Daqui pra frente não está nada feito. Apenas os andaimes da construção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08CB1" w15:done="0"/>
  <w15:commentEx w15:paraId="23B38D7F" w15:done="0"/>
  <w15:commentEx w15:paraId="66DB7A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2509F1" w16cex:dateUtc="2025-05-12T13:27:00Z"/>
  <w16cex:commentExtensible w16cex:durableId="3A00389C" w16cex:dateUtc="2025-05-11T23:10:00Z"/>
  <w16cex:commentExtensible w16cex:durableId="3ABA5A0B" w16cex:dateUtc="2025-05-11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08CB1" w16cid:durableId="3A2509F1"/>
  <w16cid:commentId w16cid:paraId="23B38D7F" w16cid:durableId="3A00389C"/>
  <w16cid:commentId w16cid:paraId="66DB7A70" w16cid:durableId="3ABA5A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976EA" w14:textId="77777777" w:rsidR="001342DF" w:rsidRDefault="001342DF" w:rsidP="009850FC">
      <w:pPr>
        <w:spacing w:line="240" w:lineRule="auto"/>
      </w:pPr>
      <w:r>
        <w:separator/>
      </w:r>
    </w:p>
  </w:endnote>
  <w:endnote w:type="continuationSeparator" w:id="0">
    <w:p w14:paraId="1C69EEE0" w14:textId="77777777" w:rsidR="001342DF" w:rsidRDefault="001342DF"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44522" w14:textId="77777777" w:rsidR="001342DF" w:rsidRDefault="001342DF" w:rsidP="009850FC">
      <w:pPr>
        <w:spacing w:line="240" w:lineRule="auto"/>
      </w:pPr>
      <w:r>
        <w:separator/>
      </w:r>
    </w:p>
  </w:footnote>
  <w:footnote w:type="continuationSeparator" w:id="0">
    <w:p w14:paraId="275DD295" w14:textId="77777777" w:rsidR="001342DF" w:rsidRDefault="001342DF"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006C0"/>
    <w:rsid w:val="00032964"/>
    <w:rsid w:val="0003488E"/>
    <w:rsid w:val="000366F3"/>
    <w:rsid w:val="00037122"/>
    <w:rsid w:val="00040147"/>
    <w:rsid w:val="00062C6E"/>
    <w:rsid w:val="00070585"/>
    <w:rsid w:val="00081B10"/>
    <w:rsid w:val="00083C3A"/>
    <w:rsid w:val="00084270"/>
    <w:rsid w:val="000977D2"/>
    <w:rsid w:val="000A02BA"/>
    <w:rsid w:val="000A0591"/>
    <w:rsid w:val="000A23EF"/>
    <w:rsid w:val="000A3994"/>
    <w:rsid w:val="000A6761"/>
    <w:rsid w:val="000D0CF4"/>
    <w:rsid w:val="000D63C1"/>
    <w:rsid w:val="000D681B"/>
    <w:rsid w:val="000E1494"/>
    <w:rsid w:val="000E1D5E"/>
    <w:rsid w:val="000E2721"/>
    <w:rsid w:val="000E316E"/>
    <w:rsid w:val="000F42A8"/>
    <w:rsid w:val="00104AED"/>
    <w:rsid w:val="0010654A"/>
    <w:rsid w:val="00114726"/>
    <w:rsid w:val="00123056"/>
    <w:rsid w:val="00123FEF"/>
    <w:rsid w:val="001246B9"/>
    <w:rsid w:val="001246C3"/>
    <w:rsid w:val="00132461"/>
    <w:rsid w:val="001342DF"/>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359F8"/>
    <w:rsid w:val="00254E45"/>
    <w:rsid w:val="00256AC2"/>
    <w:rsid w:val="0026323E"/>
    <w:rsid w:val="00265D4B"/>
    <w:rsid w:val="00271E08"/>
    <w:rsid w:val="00294070"/>
    <w:rsid w:val="00295721"/>
    <w:rsid w:val="002A1CF5"/>
    <w:rsid w:val="002B561A"/>
    <w:rsid w:val="002B5678"/>
    <w:rsid w:val="002C23D5"/>
    <w:rsid w:val="002C6992"/>
    <w:rsid w:val="002D1018"/>
    <w:rsid w:val="002D3870"/>
    <w:rsid w:val="002F3150"/>
    <w:rsid w:val="00300C47"/>
    <w:rsid w:val="00303144"/>
    <w:rsid w:val="0030456F"/>
    <w:rsid w:val="00323BC4"/>
    <w:rsid w:val="003261A1"/>
    <w:rsid w:val="003318AB"/>
    <w:rsid w:val="0033371D"/>
    <w:rsid w:val="00333742"/>
    <w:rsid w:val="003434DC"/>
    <w:rsid w:val="00347DDC"/>
    <w:rsid w:val="0035247E"/>
    <w:rsid w:val="003548B9"/>
    <w:rsid w:val="00355640"/>
    <w:rsid w:val="003627BB"/>
    <w:rsid w:val="0036679F"/>
    <w:rsid w:val="00385D01"/>
    <w:rsid w:val="00387624"/>
    <w:rsid w:val="00394E5E"/>
    <w:rsid w:val="003965BD"/>
    <w:rsid w:val="003A1FDB"/>
    <w:rsid w:val="003C4C91"/>
    <w:rsid w:val="003D6128"/>
    <w:rsid w:val="003E55C8"/>
    <w:rsid w:val="003F65E3"/>
    <w:rsid w:val="004002F8"/>
    <w:rsid w:val="004031C0"/>
    <w:rsid w:val="00421072"/>
    <w:rsid w:val="00443AB0"/>
    <w:rsid w:val="0044530A"/>
    <w:rsid w:val="00447621"/>
    <w:rsid w:val="00454248"/>
    <w:rsid w:val="00461416"/>
    <w:rsid w:val="004735A2"/>
    <w:rsid w:val="004827E6"/>
    <w:rsid w:val="00482CA8"/>
    <w:rsid w:val="004923C3"/>
    <w:rsid w:val="00495AA7"/>
    <w:rsid w:val="004A14AE"/>
    <w:rsid w:val="004A44B2"/>
    <w:rsid w:val="004B5F77"/>
    <w:rsid w:val="004C23A2"/>
    <w:rsid w:val="004C32AB"/>
    <w:rsid w:val="004C786B"/>
    <w:rsid w:val="004D5209"/>
    <w:rsid w:val="004E6278"/>
    <w:rsid w:val="004F63EC"/>
    <w:rsid w:val="005129C6"/>
    <w:rsid w:val="00523703"/>
    <w:rsid w:val="00531C33"/>
    <w:rsid w:val="00536952"/>
    <w:rsid w:val="00552241"/>
    <w:rsid w:val="0057001D"/>
    <w:rsid w:val="005723D0"/>
    <w:rsid w:val="005735EE"/>
    <w:rsid w:val="005744EC"/>
    <w:rsid w:val="00577186"/>
    <w:rsid w:val="005832BF"/>
    <w:rsid w:val="00583D92"/>
    <w:rsid w:val="00592498"/>
    <w:rsid w:val="00597C32"/>
    <w:rsid w:val="005A620A"/>
    <w:rsid w:val="005A68DB"/>
    <w:rsid w:val="005C0605"/>
    <w:rsid w:val="005D3AF7"/>
    <w:rsid w:val="005D5A87"/>
    <w:rsid w:val="005F03ED"/>
    <w:rsid w:val="005F490D"/>
    <w:rsid w:val="00602214"/>
    <w:rsid w:val="00604BA5"/>
    <w:rsid w:val="00615B56"/>
    <w:rsid w:val="00623A68"/>
    <w:rsid w:val="00624152"/>
    <w:rsid w:val="00635B7D"/>
    <w:rsid w:val="00640B09"/>
    <w:rsid w:val="00643608"/>
    <w:rsid w:val="00650254"/>
    <w:rsid w:val="00650D4D"/>
    <w:rsid w:val="006621C5"/>
    <w:rsid w:val="00663D31"/>
    <w:rsid w:val="00685C2E"/>
    <w:rsid w:val="00694D91"/>
    <w:rsid w:val="006B131E"/>
    <w:rsid w:val="006B650E"/>
    <w:rsid w:val="006C0F5D"/>
    <w:rsid w:val="006C5DBE"/>
    <w:rsid w:val="006F0C59"/>
    <w:rsid w:val="006F45C5"/>
    <w:rsid w:val="007118B6"/>
    <w:rsid w:val="00714C1A"/>
    <w:rsid w:val="0072227D"/>
    <w:rsid w:val="00731691"/>
    <w:rsid w:val="00732268"/>
    <w:rsid w:val="00734560"/>
    <w:rsid w:val="00741530"/>
    <w:rsid w:val="007422A5"/>
    <w:rsid w:val="007428BA"/>
    <w:rsid w:val="00754697"/>
    <w:rsid w:val="00754C6B"/>
    <w:rsid w:val="00765ABF"/>
    <w:rsid w:val="00770B04"/>
    <w:rsid w:val="00782C48"/>
    <w:rsid w:val="007A58F2"/>
    <w:rsid w:val="007C0164"/>
    <w:rsid w:val="007D0203"/>
    <w:rsid w:val="007D34A7"/>
    <w:rsid w:val="007E3E2F"/>
    <w:rsid w:val="007E59BB"/>
    <w:rsid w:val="007F0C84"/>
    <w:rsid w:val="007F0DB0"/>
    <w:rsid w:val="007F2522"/>
    <w:rsid w:val="008078BE"/>
    <w:rsid w:val="00812EEA"/>
    <w:rsid w:val="00822559"/>
    <w:rsid w:val="00823908"/>
    <w:rsid w:val="0083593E"/>
    <w:rsid w:val="00843843"/>
    <w:rsid w:val="00852718"/>
    <w:rsid w:val="008549FB"/>
    <w:rsid w:val="008726D3"/>
    <w:rsid w:val="00886B89"/>
    <w:rsid w:val="008C4DE6"/>
    <w:rsid w:val="008C5E05"/>
    <w:rsid w:val="008D358E"/>
    <w:rsid w:val="008D61FC"/>
    <w:rsid w:val="008D798A"/>
    <w:rsid w:val="008E7969"/>
    <w:rsid w:val="008F18F9"/>
    <w:rsid w:val="008F4158"/>
    <w:rsid w:val="008F56C7"/>
    <w:rsid w:val="008F76E5"/>
    <w:rsid w:val="0090110C"/>
    <w:rsid w:val="00915757"/>
    <w:rsid w:val="009401AC"/>
    <w:rsid w:val="0094053D"/>
    <w:rsid w:val="009457E1"/>
    <w:rsid w:val="00950D33"/>
    <w:rsid w:val="0095329F"/>
    <w:rsid w:val="009612E7"/>
    <w:rsid w:val="0096625B"/>
    <w:rsid w:val="00974A03"/>
    <w:rsid w:val="009850FC"/>
    <w:rsid w:val="009B4CA5"/>
    <w:rsid w:val="009C2E79"/>
    <w:rsid w:val="009D441C"/>
    <w:rsid w:val="00A00C0D"/>
    <w:rsid w:val="00A035CA"/>
    <w:rsid w:val="00A218FB"/>
    <w:rsid w:val="00A31156"/>
    <w:rsid w:val="00A34264"/>
    <w:rsid w:val="00A36A61"/>
    <w:rsid w:val="00A43DDD"/>
    <w:rsid w:val="00A519A4"/>
    <w:rsid w:val="00A55562"/>
    <w:rsid w:val="00A56B12"/>
    <w:rsid w:val="00A57207"/>
    <w:rsid w:val="00A57987"/>
    <w:rsid w:val="00A57C36"/>
    <w:rsid w:val="00A60887"/>
    <w:rsid w:val="00A75950"/>
    <w:rsid w:val="00A91893"/>
    <w:rsid w:val="00AA7688"/>
    <w:rsid w:val="00AC1D98"/>
    <w:rsid w:val="00AC2902"/>
    <w:rsid w:val="00AD54DC"/>
    <w:rsid w:val="00AD5B1B"/>
    <w:rsid w:val="00AE1D0D"/>
    <w:rsid w:val="00AE35CB"/>
    <w:rsid w:val="00AE4E43"/>
    <w:rsid w:val="00AF673C"/>
    <w:rsid w:val="00B00B91"/>
    <w:rsid w:val="00B023AF"/>
    <w:rsid w:val="00B14AD2"/>
    <w:rsid w:val="00B35A09"/>
    <w:rsid w:val="00B604AE"/>
    <w:rsid w:val="00B8080A"/>
    <w:rsid w:val="00BA2D72"/>
    <w:rsid w:val="00BA2E67"/>
    <w:rsid w:val="00BB10E7"/>
    <w:rsid w:val="00BB24E0"/>
    <w:rsid w:val="00BB2701"/>
    <w:rsid w:val="00BC6804"/>
    <w:rsid w:val="00BD572E"/>
    <w:rsid w:val="00BE0591"/>
    <w:rsid w:val="00BF2A64"/>
    <w:rsid w:val="00C04196"/>
    <w:rsid w:val="00C17CFC"/>
    <w:rsid w:val="00C20C72"/>
    <w:rsid w:val="00C27B98"/>
    <w:rsid w:val="00C473BE"/>
    <w:rsid w:val="00C630DC"/>
    <w:rsid w:val="00C6461F"/>
    <w:rsid w:val="00C71D23"/>
    <w:rsid w:val="00C71E93"/>
    <w:rsid w:val="00C72F85"/>
    <w:rsid w:val="00C75E8A"/>
    <w:rsid w:val="00C85265"/>
    <w:rsid w:val="00C97C1A"/>
    <w:rsid w:val="00CA3BA6"/>
    <w:rsid w:val="00CB4C14"/>
    <w:rsid w:val="00CB7917"/>
    <w:rsid w:val="00CC4622"/>
    <w:rsid w:val="00CC59AF"/>
    <w:rsid w:val="00CD5FF1"/>
    <w:rsid w:val="00CD61F4"/>
    <w:rsid w:val="00CF043C"/>
    <w:rsid w:val="00CF2A1E"/>
    <w:rsid w:val="00D0062A"/>
    <w:rsid w:val="00D07D97"/>
    <w:rsid w:val="00D142C5"/>
    <w:rsid w:val="00D24871"/>
    <w:rsid w:val="00D25CC0"/>
    <w:rsid w:val="00D2684B"/>
    <w:rsid w:val="00D428E0"/>
    <w:rsid w:val="00D428E6"/>
    <w:rsid w:val="00D438F7"/>
    <w:rsid w:val="00D46684"/>
    <w:rsid w:val="00D51B23"/>
    <w:rsid w:val="00D718BF"/>
    <w:rsid w:val="00D85AC7"/>
    <w:rsid w:val="00D930EB"/>
    <w:rsid w:val="00D933CE"/>
    <w:rsid w:val="00DA3FFE"/>
    <w:rsid w:val="00DA5B6D"/>
    <w:rsid w:val="00DA764F"/>
    <w:rsid w:val="00DA7DF3"/>
    <w:rsid w:val="00DB4265"/>
    <w:rsid w:val="00DD05F6"/>
    <w:rsid w:val="00DF560D"/>
    <w:rsid w:val="00DF6AE8"/>
    <w:rsid w:val="00E10B02"/>
    <w:rsid w:val="00E16663"/>
    <w:rsid w:val="00E22487"/>
    <w:rsid w:val="00E403C7"/>
    <w:rsid w:val="00E44B18"/>
    <w:rsid w:val="00E50A79"/>
    <w:rsid w:val="00E51579"/>
    <w:rsid w:val="00E615BC"/>
    <w:rsid w:val="00E644B2"/>
    <w:rsid w:val="00E77D33"/>
    <w:rsid w:val="00E914C2"/>
    <w:rsid w:val="00EA0024"/>
    <w:rsid w:val="00EA49C8"/>
    <w:rsid w:val="00EB2446"/>
    <w:rsid w:val="00EB649E"/>
    <w:rsid w:val="00EB6F1D"/>
    <w:rsid w:val="00EC3269"/>
    <w:rsid w:val="00EF4D59"/>
    <w:rsid w:val="00F060AB"/>
    <w:rsid w:val="00F071D2"/>
    <w:rsid w:val="00F10DF7"/>
    <w:rsid w:val="00F1153E"/>
    <w:rsid w:val="00F15547"/>
    <w:rsid w:val="00F15868"/>
    <w:rsid w:val="00F23FBC"/>
    <w:rsid w:val="00F270EA"/>
    <w:rsid w:val="00F34C04"/>
    <w:rsid w:val="00F8100D"/>
    <w:rsid w:val="00F83005"/>
    <w:rsid w:val="00F94FD1"/>
    <w:rsid w:val="00F96E62"/>
    <w:rsid w:val="00F97685"/>
    <w:rsid w:val="00FA105F"/>
    <w:rsid w:val="00FB04A0"/>
    <w:rsid w:val="00FB39F7"/>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semiHidden/>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 w:type="paragraph" w:styleId="Bibliografia">
    <w:name w:val="Bibliography"/>
    <w:basedOn w:val="Normal"/>
    <w:next w:val="Normal"/>
    <w:uiPriority w:val="37"/>
    <w:unhideWhenUsed/>
    <w:rsid w:val="005F490D"/>
    <w:pPr>
      <w:spacing w:after="24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lucasmberaldo/10-anos-de-back-pei"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8/08/relationships/commentsExtensible" Target="commentsExtensible.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3521</TotalTime>
  <Pages>38</Pages>
  <Words>91584</Words>
  <Characters>494556</Characters>
  <Application>Microsoft Office Word</Application>
  <DocSecurity>0</DocSecurity>
  <Lines>4121</Lines>
  <Paragraphs>1169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144</cp:revision>
  <dcterms:created xsi:type="dcterms:W3CDTF">2025-03-12T15:42:00Z</dcterms:created>
  <dcterms:modified xsi:type="dcterms:W3CDTF">2025-05-15T04:31:00Z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id="sZKnOQaZ"/&gt;&lt;style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