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6CC198C0"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w:t>
      </w:r>
      <w:r w:rsidR="000A0591">
        <w:t>n</w:t>
      </w:r>
      <w:r>
        <w:t xml:space="preserve">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43847AD0"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6EDB25A9" w:rsidR="00B8080A" w:rsidRDefault="00EF4D59" w:rsidP="00B8080A">
      <w:r>
        <w:t xml:space="preserve">Uma forma de </w:t>
      </w:r>
      <w:commentRangeStart w:id="1"/>
      <w:r>
        <w:t xml:space="preserve">realizar </w:t>
      </w:r>
      <w:r w:rsidR="00F97685">
        <w:t>o</w:t>
      </w:r>
      <w:r>
        <w:t xml:space="preserve"> </w:t>
      </w:r>
      <w:r w:rsidR="00B8080A">
        <w:t>estudo</w:t>
      </w:r>
      <w:r w:rsidR="00F97685">
        <w:t xml:space="preserve"> da Clinimeria</w:t>
      </w:r>
      <w:r>
        <w:t xml:space="preserve"> </w:t>
      </w:r>
      <w:commentRangeEnd w:id="1"/>
      <w:r w:rsidR="00F97685">
        <w:rPr>
          <w:rStyle w:val="Refdecomentrio"/>
        </w:rPr>
        <w:commentReference w:id="1"/>
      </w:r>
      <w:r>
        <w:t>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instrText xml:space="preserve"> ADDIN ZOTERO_ITEM CSL_CITATION {"citationID":"QevkYvj3","properties":{"formattedCitation":"(Cartwright; Bradburn; Fuller, 2016; Cartwright; Runhardt, 2018)","plainCitation":"(Cartwright; Bradburn;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Pr="00EF4D59">
        <w:rPr>
          <w:rFonts w:cs="Arial"/>
        </w:rPr>
        <w:t>(Cartwright; Bradburn; Fuller, 2016; Cartwright; Runhardt, 2018)</w:t>
      </w:r>
      <w:r>
        <w:fldChar w:fldCharType="end"/>
      </w:r>
      <w:r>
        <w:t xml:space="preserve">. </w:t>
      </w:r>
      <w:r w:rsidR="00B8080A">
        <w:t>Segundo às autoras os sistemas de medição em saúde exigem que:</w:t>
      </w:r>
    </w:p>
    <w:p w14:paraId="4AE86C5A" w14:textId="77777777" w:rsidR="00F97685" w:rsidRDefault="00F97685" w:rsidP="00F97685">
      <w:pPr>
        <w:pStyle w:val="NormalWeb"/>
        <w:spacing w:before="0" w:beforeAutospacing="0" w:after="0" w:afterAutospacing="0"/>
        <w:ind w:left="1416" w:firstLine="2"/>
        <w:jc w:val="both"/>
      </w:pPr>
      <w:commentRangeStart w:id="2"/>
      <w:r>
        <w:rPr>
          <w:rFonts w:ascii="Arial" w:hAnsi="Arial" w:cs="Arial"/>
          <w:color w:val="000000"/>
        </w:rPr>
        <w:t>“1. Definamos o conceito ou quantidade, identificando seus limites e determinando quais características pertencem a ele e quais não (caracterização); 2. Definamos um sistema métrico que represente apropriadamente o conceito ou quantidade (representação); 3. Formulemos regras para aplicar o sistema métrico a alvos para produzir os resultados da medição (procedimentos).” (CARTWRIGHT; BRADBURN; FULLER, 2016).</w:t>
      </w:r>
      <w:commentRangeEnd w:id="2"/>
      <w:r>
        <w:rPr>
          <w:rStyle w:val="Refdecomentrio"/>
          <w:rFonts w:ascii="Arial" w:eastAsiaTheme="minorHAnsi" w:hAnsi="Arial" w:cstheme="minorBidi"/>
          <w:kern w:val="2"/>
          <w:lang w:eastAsia="en-US"/>
          <w14:ligatures w14:val="standardContextual"/>
        </w:rPr>
        <w:commentReference w:id="2"/>
      </w:r>
    </w:p>
    <w:p w14:paraId="2C69331E" w14:textId="25919D39" w:rsidR="008F4158" w:rsidRPr="00AE35CB" w:rsidRDefault="008F4158" w:rsidP="00B8080A">
      <w:r>
        <w:t>Como alvo de análise propomos</w:t>
      </w:r>
      <w:r w:rsidR="00F97685">
        <w:t xml:space="preserve"> analisar pela </w:t>
      </w:r>
      <w:commentRangeStart w:id="3"/>
      <w:r w:rsidR="00F97685">
        <w:t>ciência complementar</w:t>
      </w:r>
      <w:r>
        <w:t xml:space="preserve"> </w:t>
      </w:r>
      <w:commentRangeEnd w:id="3"/>
      <w:r w:rsidR="00F97685">
        <w:rPr>
          <w:rStyle w:val="Refdecomentrio"/>
        </w:rPr>
        <w:commentReference w:id="3"/>
      </w:r>
      <w:r>
        <w:t>o desenvolvimento e avaliação do Back Pain and Body Posture Assessment Intrument (BackPEI). Este sistema de medição</w:t>
      </w:r>
      <w:r w:rsidR="00387624">
        <w:t xml:space="preserve"> foi desenvolvido em 2013 e</w:t>
      </w:r>
      <w:r>
        <w:t xml:space="preserve"> é adequado a proposta deste </w:t>
      </w:r>
      <w:r w:rsidR="00F97685">
        <w:t>artigo</w:t>
      </w:r>
      <w:r>
        <w:t xml:space="preserve"> por se tratar de um 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w:t>
      </w:r>
      <w:r w:rsidR="00387624">
        <w:lastRenderedPageBreak/>
        <w:t xml:space="preserve">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4"/>
      <w:r w:rsidR="005F03ED">
        <w:fldChar w:fldCharType="begin"/>
      </w:r>
      <w:r w:rsidR="002359F8">
        <w:instrText xml:space="preserve"> ADDIN ZOTERO_ITEM CSL_CITATION {"citationID":"i2RIlYYO","properties":{"formattedCitation":"(Bebi\\uc0\\u351{}; Gen\\uc0\\u231{}ba\\uc0\\u351{}, 2019; Mi\\uc0\\u241{}ana-Signes {\\i{}et al.}, 2021; Noll {\\i{}et al.}, 2013a)","plainCitation":"(Bebiş; Gençbaş,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(Bebiş; Gençbaş, 2019; Miñana-Signes </w:t>
      </w:r>
      <w:r w:rsidR="002359F8" w:rsidRPr="002359F8">
        <w:rPr>
          <w:rFonts w:cs="Arial"/>
          <w:i/>
          <w:iCs/>
          <w:kern w:val="0"/>
        </w:rPr>
        <w:t>et al.</w:t>
      </w:r>
      <w:r w:rsidR="002359F8" w:rsidRPr="002359F8">
        <w:rPr>
          <w:rFonts w:cs="Arial"/>
          <w:kern w:val="0"/>
        </w:rPr>
        <w:t xml:space="preserve">, 2021; Noll </w:t>
      </w:r>
      <w:r w:rsidR="002359F8" w:rsidRPr="002359F8">
        <w:rPr>
          <w:rFonts w:cs="Arial"/>
          <w:i/>
          <w:iCs/>
          <w:kern w:val="0"/>
        </w:rPr>
        <w:t>et al.</w:t>
      </w:r>
      <w:r w:rsidR="002359F8" w:rsidRPr="002359F8">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4"/>
      <w:r w:rsidR="00387624">
        <w:rPr>
          <w:rStyle w:val="Refdecomentrio"/>
        </w:rPr>
        <w:commentReference w:id="4"/>
      </w:r>
      <w:r w:rsidR="00387624">
        <w:t>.</w:t>
      </w:r>
    </w:p>
    <w:p w14:paraId="4768D91D" w14:textId="670819B4" w:rsidR="008F4158" w:rsidRPr="00387624" w:rsidRDefault="00F97685" w:rsidP="00040147">
      <w:r>
        <w:t xml:space="preserve">Portanto, a presente revisão de escopo </w:t>
      </w:r>
      <w:r w:rsidR="00387624">
        <w:t>pretende analisar o</w:t>
      </w:r>
      <w:r w:rsidR="00300C47">
        <w:t xml:space="preserve"> processo de desenvolvimento e avaliação do</w:t>
      </w:r>
      <w:r w:rsidR="00387624">
        <w:t xml:space="preserve"> BackPEI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PRISMA-ScR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 xml:space="preserve">(Tricco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8" w:history="1">
        <w:r w:rsidR="00062C6E" w:rsidRPr="00EA7349">
          <w:rPr>
            <w:rStyle w:val="Hyperlink"/>
          </w:rPr>
          <w:t>https://github.com/lucasmberaldo/10-anos-de-back-pei</w:t>
        </w:r>
      </w:hyperlink>
      <w:r w:rsidR="00062C6E">
        <w:t xml:space="preserve">. </w:t>
      </w:r>
    </w:p>
    <w:p w14:paraId="6BFFEAF4" w14:textId="77777777" w:rsidR="00F97685" w:rsidRDefault="00062C6E" w:rsidP="000A23EF">
      <w:r>
        <w:t>Foram estabelecidos como critério de elegibilidade: publicações a partir de 2013 (ano da publicação da primeira versão do BackPEI)</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BackPEI </w:t>
      </w:r>
      <w:r w:rsidR="00F8100D">
        <w:t>dentro da metodologia do estudo</w:t>
      </w:r>
      <w:r w:rsidR="000A23EF">
        <w:t>;</w:t>
      </w:r>
      <w:r w:rsidR="00812EEA">
        <w:t xml:space="preserve"> e estudos de clinimetria (desenvolvimento e avaliação de sistemas de medição em saúde)</w:t>
      </w:r>
      <w:r w:rsidR="00F8100D">
        <w:t>.</w:t>
      </w:r>
    </w:p>
    <w:p w14:paraId="2111AB8F" w14:textId="5E3D937A" w:rsidR="00062C6E" w:rsidRDefault="00F8100D" w:rsidP="000A23EF">
      <w:r>
        <w:t xml:space="preserve">Inicialmente partiu-se de um conjunto de 32 </w:t>
      </w:r>
      <w:r w:rsidR="00E50A79">
        <w:t>fontes iniciais</w:t>
      </w:r>
      <w:r>
        <w:t xml:space="preserve"> conhecid</w:t>
      </w:r>
      <w:r w:rsidR="00E50A79">
        <w:t>a</w:t>
      </w:r>
      <w:r>
        <w:t xml:space="preserve">s por nós que cumpriam </w:t>
      </w:r>
      <w:r w:rsidR="000A23EF">
        <w:t xml:space="preserve">quase todos </w:t>
      </w:r>
      <w:r>
        <w:t>os critérios de elegibilidade</w:t>
      </w:r>
      <w:r w:rsidR="000A23EF">
        <w:t>, excetuando apenas o referente à clinimetria por compreenderem também estudos de aplicação do BackPEI. Estas fontes</w:t>
      </w:r>
      <w:r w:rsidR="00F97685">
        <w:t xml:space="preserve"> iniciais</w:t>
      </w:r>
      <w:r w:rsidR="000A23EF">
        <w:t xml:space="preserve"> </w:t>
      </w:r>
      <w:r>
        <w:t>foram utilizad</w:t>
      </w:r>
      <w:r w:rsidR="000A23EF">
        <w:t>a</w:t>
      </w:r>
      <w:r>
        <w:t xml:space="preserve">s para a confecção das chaves e controle da abrangência da busca. Foram utilizadas 3 bases para a sequência da busca das fontes: </w:t>
      </w:r>
      <w:r w:rsidR="007D34A7">
        <w:t>Pubmed, Scopus e Lilacs a</w:t>
      </w:r>
      <w:r w:rsidR="000A23EF">
        <w:t xml:space="preserve"> partir da</w:t>
      </w:r>
      <w:r w:rsidR="007D34A7">
        <w:t xml:space="preserve"> chave</w:t>
      </w:r>
      <w:r w:rsidR="000A23EF">
        <w:t>: "Sırt Ağrısı ve Vücut Duruşu Değerlendirme Aracı’nın" OR "BackPEI" OR "BackPEI-A" OR "BackPEI-CA" OR "Back Pain and Body Posture Evaluation Instrument"</w:t>
      </w:r>
      <w:r w:rsidR="00E50A79">
        <w:t xml:space="preserve">. </w:t>
      </w:r>
      <w:r w:rsidR="00EA0024">
        <w:t>Também</w:t>
      </w:r>
      <w:r w:rsidR="00E50A79">
        <w:t xml:space="preserve"> foram identificadas entre as 32 fontes iniciais quais eram estudos de clinimetria do BackPEI, ou seja, de desenvolvimento ou avaliação do sistema de medição. Realizamos então uma ampla busca dos estudos que realizavam citações a estas pesquisas clinimétricas utilizando </w:t>
      </w:r>
      <w:r w:rsidR="00E50A79">
        <w:lastRenderedPageBreak/>
        <w:t>o Web of Science, Scopus, Pubmed, Semantic Scholar</w:t>
      </w:r>
      <w:r w:rsidR="00F060AB">
        <w:t xml:space="preserve"> e</w:t>
      </w:r>
      <w:r w:rsidR="00E50A79">
        <w:t xml:space="preserve"> Research Gate</w:t>
      </w:r>
      <w:r w:rsidR="00EA0024">
        <w:t>. A pesquisa de fontes a partir das chaves de busca e das citações dos artigos de clinimetria do BackPEI aconteceram entre 20/09/2024 e 30/09/2024.</w:t>
      </w:r>
    </w:p>
    <w:p w14:paraId="368CF836" w14:textId="2723F41D" w:rsidR="00DD05F6" w:rsidRDefault="00DD05F6" w:rsidP="00062C6E">
      <w:r>
        <w:t>As fontes iniciais e os artigos encontrados a partir das buscas foram importados par</w:t>
      </w:r>
      <w:r w:rsidR="00A00C0D">
        <w:t>a a plataforma</w:t>
      </w:r>
      <w:r>
        <w:t xml:space="preserve"> Rayyan sendo feita uma primeira remoção das duplicatas. A seleção dos artigos a partir dos critérios de elegibilidade foi realizada de forma cegada por </w:t>
      </w:r>
      <w:r w:rsidR="00F97685">
        <w:t>dois</w:t>
      </w:r>
      <w:r>
        <w:t xml:space="preserve"> avaliadores</w:t>
      </w:r>
      <w:r w:rsidR="00F97685">
        <w:t xml:space="preserve"> independentes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sendo estabelecido que caso esta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Na última etapa, os estudos restantes foram divididos entre aqueles que são de aplicação do BackPEI o os que são de avaliação ou desenvolvimento de alguma versão do BackPEI (clinimetria</w:t>
      </w:r>
      <w:r w:rsidR="000D0CF4">
        <w:t>)</w:t>
      </w:r>
      <w:r w:rsidR="00114726">
        <w:t>.</w:t>
      </w:r>
    </w:p>
    <w:p w14:paraId="2EA8C0C5" w14:textId="015B909B" w:rsidR="000D0CF4" w:rsidRDefault="000D0CF4" w:rsidP="00062C6E">
      <w:r>
        <w:t>Essas fontes foram importadas para o</w:t>
      </w:r>
      <w:r w:rsidR="00F97685">
        <w:t xml:space="preserve"> </w:t>
      </w:r>
      <w:r w:rsidR="00F97685">
        <w:rPr>
          <w:i/>
          <w:iCs/>
        </w:rPr>
        <w:t>software</w:t>
      </w:r>
      <w:r>
        <w:t xml:space="preserve"> Zotero</w:t>
      </w:r>
      <w:r w:rsidR="00F97685">
        <w:t>, para a gestão de referências,</w:t>
      </w:r>
      <w:r>
        <w:t xml:space="preserve"> onde já se encontravam as 32 fontes iniciais. Foi</w:t>
      </w:r>
      <w:r w:rsidR="00F97685">
        <w:t xml:space="preserve"> identificado se essas fontes iniciais se</w:t>
      </w:r>
      <w:r>
        <w:t xml:space="preserve"> encontravam entre as fontes selecionadas e, mais uma vez, foram verificadas possíveis duplicatas. </w:t>
      </w:r>
      <w:r w:rsidR="00E914C2">
        <w:t>A classificação entre estudos de aplicação e clinimetria foram verificadas por um avaliador</w:t>
      </w:r>
      <w:r w:rsidR="00F97685">
        <w:t xml:space="preserve">, sendo que aqueles referentes a Clinimetria </w:t>
      </w:r>
      <w:r w:rsidR="00E914C2">
        <w:t xml:space="preserve">foram selecionados </w:t>
      </w:r>
      <w:r w:rsidR="00F97685">
        <w:t xml:space="preserve">para </w:t>
      </w:r>
      <w:r w:rsidR="00E914C2">
        <w:t>compo</w:t>
      </w:r>
      <w:r w:rsidR="00F97685">
        <w:t>r</w:t>
      </w:r>
      <w:r w:rsidR="00E914C2">
        <w:t xml:space="preserve"> o conjunto de fontes desta revisão.</w:t>
      </w:r>
    </w:p>
    <w:p w14:paraId="3FE75244" w14:textId="7E92EF67" w:rsidR="00DD05F6" w:rsidRDefault="00E914C2" w:rsidP="00062C6E">
      <w:commentRangeStart w:id="5"/>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commentRangeEnd w:id="5"/>
      <w:r w:rsidR="004031C0">
        <w:rPr>
          <w:rStyle w:val="Refdecomentrio"/>
        </w:rPr>
        <w:commentReference w:id="5"/>
      </w:r>
      <w:r w:rsidR="007422A5">
        <w:t>Além disso, a</w:t>
      </w:r>
      <w:r w:rsidR="007422A5">
        <w:t xml:space="preserve"> partir da </w:t>
      </w:r>
      <w:r w:rsidR="007422A5">
        <w:lastRenderedPageBreak/>
        <w:t xml:space="preserve">estrutura proposta por Cartwright e coloboradoras </w:t>
      </w:r>
      <w:r w:rsidR="007422A5">
        <w:fldChar w:fldCharType="begin"/>
      </w:r>
      <w:r w:rsidR="007422A5">
        <w:instrText xml:space="preserve"> ADDIN ZOTERO_ITEM CSL_CITATION {"citationID":"ppAj4Rle","properties":{"formattedCitation":"(Cartwright; Bradburn; Fuller, 2016; Cartwright; Montuschi, 2018)","plainCitation":"(Cartwright; Bradburn;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rsidR="007422A5">
        <w:fldChar w:fldCharType="separate"/>
      </w:r>
      <w:r w:rsidR="007422A5" w:rsidRPr="004031C0">
        <w:rPr>
          <w:rFonts w:cs="Arial"/>
        </w:rPr>
        <w:t>(Cartwright; Bradburn; Fuller, 2016; Cartwright; Montuschi, 2018)</w:t>
      </w:r>
      <w:r w:rsidR="007422A5">
        <w:fldChar w:fldCharType="end"/>
      </w:r>
      <w:r w:rsidR="007422A5">
        <w:t xml:space="preserve"> foi realizada uma análise de conteúdo em duas etapas. </w:t>
      </w:r>
      <w:commentRangeStart w:id="6"/>
      <w:r w:rsidR="007422A5">
        <w:t xml:space="preserve">Inicialmente foram identificados e classificados trechos das fontes a partir de quatro categorias, os três aspectos da medição presentes na estrutura epistemológica (caracterização, representação e procedimentos) e o propósito. Este não é um aspectos presentes na estrutura mas é importante. Esses trechos </w:t>
      </w:r>
      <w:r w:rsidR="004031C0">
        <w:t>foram registrad</w:t>
      </w:r>
      <w:r w:rsidR="007422A5">
        <w:t>o</w:t>
      </w:r>
      <w:r w:rsidR="004031C0">
        <w:t>s na mesma planilha.</w:t>
      </w:r>
      <w:r w:rsidR="007422A5">
        <w:t xml:space="preserve"> A segunda etapa</w:t>
      </w:r>
      <w:commentRangeEnd w:id="6"/>
      <w:r w:rsidR="00EB6F1D">
        <w:rPr>
          <w:rStyle w:val="Refdecomentrio"/>
        </w:rPr>
        <w:commentReference w:id="6"/>
      </w:r>
    </w:p>
    <w:p w14:paraId="300B24D9" w14:textId="77777777" w:rsidR="0096625B" w:rsidRDefault="0096625B" w:rsidP="00062C6E"/>
    <w:p w14:paraId="46F2EEEA" w14:textId="77E3FBA7" w:rsidR="001E6B49" w:rsidRDefault="00040147" w:rsidP="00685C2E">
      <w:pPr>
        <w:pStyle w:val="Ttulo1"/>
      </w:pPr>
      <w:r>
        <w:t>RESULTADOS</w:t>
      </w:r>
    </w:p>
    <w:p w14:paraId="539644BE" w14:textId="17433FA5" w:rsidR="00685C2E" w:rsidRDefault="00685C2E" w:rsidP="00685C2E">
      <w:r>
        <w:t xml:space="preserve">O processo de seleção das fontes de evidência está apresentado no diagrama da </w:t>
      </w:r>
      <w:commentRangeStart w:id="7"/>
      <w:r w:rsidRPr="00685C2E">
        <w:rPr>
          <w:b/>
          <w:bCs/>
        </w:rPr>
        <w:t>figura x</w:t>
      </w:r>
      <w:commentRangeEnd w:id="7"/>
      <w:r w:rsidR="003434DC">
        <w:rPr>
          <w:rStyle w:val="Refdecomentrio"/>
        </w:rPr>
        <w:commentReference w:id="7"/>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w:t>
      </w:r>
      <w:r w:rsidR="004C32AB" w:rsidRPr="004C32AB">
        <w:t xml:space="preserve"> </w:t>
      </w:r>
      <w:r w:rsidR="004C32AB">
        <w:t>na seleção a partir da leitura dos títulos e resumos</w:t>
      </w:r>
      <w:r w:rsidR="00782C48">
        <w:t xml:space="preserve"> foi de 82% entre os avaliadores e</w:t>
      </w:r>
      <w:r w:rsidR="004C32AB">
        <w:t xml:space="preserve"> na seleção com acesso aos artigos na íntegra foi</w:t>
      </w:r>
      <w:r w:rsidR="00782C48">
        <w:t xml:space="preserve"> de 100%. </w:t>
      </w:r>
      <w:r w:rsidR="004C32AB">
        <w:t>Assim, n</w:t>
      </w:r>
      <w:r w:rsidR="00782C48">
        <w:t xml:space="preserve">ão </w:t>
      </w:r>
      <w:r w:rsidR="004C32AB">
        <w:t xml:space="preserve">foi </w:t>
      </w:r>
      <w:r w:rsidR="00782C48">
        <w:t>necessária nova interrupção n</w:t>
      </w:r>
      <w:r w:rsidR="003434DC">
        <w:t>esse</w:t>
      </w:r>
      <w:r w:rsidR="00782C48">
        <w:t xml:space="preserve"> processo devido à </w:t>
      </w:r>
      <w:r w:rsidR="003434DC">
        <w:t xml:space="preserve">alta </w:t>
      </w:r>
      <w:r w:rsidR="00782C48">
        <w:t>concordância</w:t>
      </w:r>
      <w:r w:rsidR="003434DC">
        <w:t xml:space="preserve"> entre os avaliadores</w:t>
      </w:r>
      <w:r w:rsidR="00782C48">
        <w:t>.</w:t>
      </w:r>
    </w:p>
    <w:p w14:paraId="7190B2D6" w14:textId="76C09289" w:rsidR="00BD572E" w:rsidRDefault="00A519A4" w:rsidP="00685C2E">
      <w:commentRangeStart w:id="8"/>
      <w:r>
        <w:rPr>
          <w:noProof/>
        </w:rPr>
        <w:lastRenderedPageBreak/>
        <w:drawing>
          <wp:inline distT="0" distB="0" distL="0" distR="0" wp14:anchorId="54C2889B" wp14:editId="09405EF6">
            <wp:extent cx="5760085" cy="5708650"/>
            <wp:effectExtent l="0" t="0" r="0" b="6350"/>
            <wp:docPr id="2" name="Imagem 2"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commentRangeEnd w:id="8"/>
      <w:r w:rsidR="003434DC">
        <w:rPr>
          <w:rStyle w:val="Refdecomentrio"/>
        </w:rPr>
        <w:commentReference w:id="8"/>
      </w:r>
    </w:p>
    <w:p w14:paraId="0FD43DD8" w14:textId="14D846BC" w:rsidR="00782C48" w:rsidRDefault="00782C48" w:rsidP="00685C2E">
      <w:r>
        <w:t xml:space="preserve">As razões para exclusão das possíveis fontes </w:t>
      </w:r>
      <w:r w:rsidR="003434DC">
        <w:t>estão</w:t>
      </w:r>
      <w:r>
        <w:t xml:space="preserve"> apontada</w:t>
      </w:r>
      <w:r w:rsidR="004D5209">
        <w:t>s</w:t>
      </w:r>
      <w:r>
        <w:t xml:space="preserve"> na </w:t>
      </w:r>
      <w:r>
        <w:rPr>
          <w:b/>
          <w:bCs/>
        </w:rPr>
        <w:t>figura x</w:t>
      </w:r>
      <w:r>
        <w:t xml:space="preserve"> sendo que algumas delas descumpriam mais de um critério de elegibilidade.</w:t>
      </w:r>
      <w:r w:rsidR="004D5209">
        <w:t xml:space="preserve"> Nós discriminamos os estudos excluídos que não utilizavam o BackPEI em </w:t>
      </w:r>
      <w:r w:rsidR="003434DC">
        <w:t>três</w:t>
      </w:r>
      <w:r w:rsidR="004D5209">
        <w:t xml:space="preserve"> categorias: aqueles que avaliam desfechos distintos dos avaliados pelo BackPEI (desfechos); aqueles que utilizam instrumentos diversos do BackPEI (instrumentos); e aqueles que utilizam animais não-humanos como amostra (animais). Também apontamos qual o tipo de estudo</w:t>
      </w:r>
      <w:r w:rsidR="003434DC">
        <w:t>, quando não se tratava</w:t>
      </w:r>
      <w:r w:rsidR="004D5209">
        <w:t xml:space="preserve"> de artigos originais. </w:t>
      </w:r>
      <w:r>
        <w:t xml:space="preserve"> </w:t>
      </w:r>
      <w:r w:rsidR="004D5209">
        <w:t xml:space="preserve">Destaco que na leitura dos títulos e resumos </w:t>
      </w:r>
      <w:r w:rsidR="003434DC">
        <w:t>dois</w:t>
      </w:r>
      <w:r w:rsidR="004D5209">
        <w:t xml:space="preserve"> protocolos de revisão foram excluídos por não se tratarem de estudos originais ou revisões. </w:t>
      </w:r>
      <w:r w:rsidR="003434DC">
        <w:t>Não obstante,</w:t>
      </w:r>
      <w:r w:rsidR="004D5209">
        <w:t xml:space="preserve"> a equipe </w:t>
      </w:r>
      <w:r w:rsidR="003434DC">
        <w:t xml:space="preserve">identificou </w:t>
      </w:r>
      <w:r w:rsidR="004D5209">
        <w:t>que esses protocolos resultaram em dois artigos de revisão publicados e que ambos estavam incluídos entre as possíveis fontes</w:t>
      </w:r>
      <w:r w:rsidR="003434DC">
        <w:t xml:space="preserve">, tendo sido </w:t>
      </w:r>
      <w:r w:rsidR="004D5209">
        <w:t>avaliados.</w:t>
      </w:r>
    </w:p>
    <w:p w14:paraId="1468BA3E" w14:textId="5CA56CD4" w:rsidR="004D5209" w:rsidRDefault="00950D33" w:rsidP="00685C2E">
      <w:r>
        <w:lastRenderedPageBreak/>
        <w:t>Ao</w:t>
      </w:r>
      <w:r w:rsidR="004D5209">
        <w:t xml:space="preserve"> acess</w:t>
      </w:r>
      <w:r>
        <w:t>ar</w:t>
      </w:r>
      <w:r w:rsidR="004D5209">
        <w:t xml:space="preserve"> os artigos na íntegra</w:t>
      </w:r>
      <w:r>
        <w:t xml:space="preserve"> encontramos textos em português, inglês e turco. O último idioma não era compreendido por nenhum dos avaliadores, entretanto, optou-se por não o excluir. A equipe utilizou das ferramentas copilot e google tradutor para gerar uma versão em inglês e a utilizou para fazer a avaliação do artigo. Como ele foi incluído entre as fontes ao final da seleção utilizou-se da versão gerada pela equipe para as análises. Durante a fase de seleção a partir dos artigos na </w:t>
      </w:r>
      <w:r w:rsidR="003434DC">
        <w:t>íntegra</w:t>
      </w:r>
      <w:r>
        <w:t xml:space="preserve"> </w:t>
      </w:r>
      <w:r w:rsidR="003434DC">
        <w:t>verificamos</w:t>
      </w:r>
      <w:r w:rsidR="004D5209">
        <w:t xml:space="preserve"> que </w:t>
      </w:r>
      <w:r w:rsidR="003434DC">
        <w:t xml:space="preserve">dois </w:t>
      </w:r>
      <w:r w:rsidR="004D5209">
        <w:t>artigos constantes nas revisões eram possíveis fontes, elas foram inseridas n</w:t>
      </w:r>
      <w:r w:rsidR="003434DC">
        <w:t>a plataforma</w:t>
      </w:r>
      <w:r w:rsidR="004D5209">
        <w:t xml:space="preserve"> Rayyan</w:t>
      </w:r>
      <w:r w:rsidR="003434DC">
        <w:t>. Não obstante, nessa plataforma</w:t>
      </w:r>
      <w:r w:rsidR="004D5209">
        <w:t xml:space="preserve"> </w:t>
      </w:r>
      <w:r w:rsidR="004C32AB">
        <w:t>foi identificado que ambas</w:t>
      </w:r>
      <w:r w:rsidR="003434DC">
        <w:t xml:space="preserve"> as fontes</w:t>
      </w:r>
      <w:r w:rsidR="004C32AB">
        <w:t xml:space="preserve"> </w:t>
      </w:r>
      <w:r w:rsidR="004D5209">
        <w:t>já haviam sido avaliadas pela equipe</w:t>
      </w:r>
      <w:r w:rsidR="004C32AB">
        <w:t xml:space="preserve"> se tratando, portanto, de duplicatas</w:t>
      </w:r>
      <w:r w:rsidR="004D5209">
        <w:t xml:space="preserve">. Assim as 61 possíveis fontes foram exportadas do Rayyan e importadas para o Zotero onde verificou-se que todas as 32 fontes iniciais estavam </w:t>
      </w:r>
      <w:r w:rsidR="00333742">
        <w:t xml:space="preserve">presentes. Por fim restaram </w:t>
      </w:r>
      <w:r w:rsidR="003434DC">
        <w:t>dez</w:t>
      </w:r>
      <w:r w:rsidR="00333742">
        <w:t xml:space="preserve"> artigos após a identificação dos estudos de clinimetria e estes compõem as fontes dessa revisão.</w:t>
      </w:r>
      <w:r w:rsidR="003E55C8">
        <w:t xml:space="preserve"> </w:t>
      </w:r>
    </w:p>
    <w:p w14:paraId="6A2AB839" w14:textId="63496B4B" w:rsidR="004C32AB" w:rsidRDefault="00A519A4" w:rsidP="00685C2E">
      <w:r>
        <w:t xml:space="preserve">Entre as </w:t>
      </w:r>
      <w:r w:rsidR="003434DC">
        <w:t xml:space="preserve">dez </w:t>
      </w:r>
      <w:r>
        <w:t xml:space="preserve">fontes, </w:t>
      </w:r>
      <w:r w:rsidR="003434DC">
        <w:t xml:space="preserve">nove </w:t>
      </w:r>
      <w:r>
        <w:t xml:space="preserve">estudos são de desenvolvimento e/ou avaliação de alguma versão do BackPEI </w:t>
      </w:r>
      <w:r>
        <w:fldChar w:fldCharType="begin"/>
      </w:r>
      <w:r>
        <w:instrText xml:space="preserve"> ADDIN ZOTERO_ITEM CSL_CITATION {"citationID":"krHjNTem","properties":{"formattedCitation":"(Antoniolli {\\i{}et al.}, 2015; Bebi\\uc0\\u351{}; Gen\\uc0\\u231{}ba\\uc0\\u351{}, 2019; Candotti {\\i{}et al.}, 2018, 2023; Da Rosa {\\i{}et al.}, 2022; G\\uc0\\u246{}k\\uc0\\u351{}en; Kocaman; Y\\uc0\\u305{}ld\\uc0\\u305{}r\\uc0\\u305{}m, 2023; Mi\\uc0\\u241{}ana-Signes {\\i{}et al.}, 2021; Noll {\\i{}et al.}, 2013a; Pivotto {\\i{}et al.}, 2018)","plainCitation":"(Antoniolli et al., 2015; Bebiş; Gençbaş, 2019; Candotti et al., 2018, 2023; Da Rosa et al., 2022; Gökşen; Kocaman; Yıldırım, 2023; Miñana-Signes et al., 2021; Noll et al., 2013a; Pivotto et al., 2018)","noteIndex":0},"citationItems":[{"id":1681,"uris":["http://zotero.org/groups/5422192/items/IFDMB2ZH"],"itemData":{"id":1681,"type":"article-journal","abstract":"Este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519A4">
        <w:rPr>
          <w:rFonts w:cs="Arial"/>
          <w:kern w:val="0"/>
        </w:rPr>
        <w:t xml:space="preserve">(Antoniolli </w:t>
      </w:r>
      <w:r w:rsidRPr="00A519A4">
        <w:rPr>
          <w:rFonts w:cs="Arial"/>
          <w:i/>
          <w:iCs/>
          <w:kern w:val="0"/>
        </w:rPr>
        <w:t>et al.</w:t>
      </w:r>
      <w:r w:rsidRPr="00A519A4">
        <w:rPr>
          <w:rFonts w:cs="Arial"/>
          <w:kern w:val="0"/>
        </w:rPr>
        <w:t xml:space="preserve">, 2015; Bebiş; Gençbaş, 2019; Candotti </w:t>
      </w:r>
      <w:r w:rsidRPr="00A519A4">
        <w:rPr>
          <w:rFonts w:cs="Arial"/>
          <w:i/>
          <w:iCs/>
          <w:kern w:val="0"/>
        </w:rPr>
        <w:t>et al.</w:t>
      </w:r>
      <w:r w:rsidRPr="00A519A4">
        <w:rPr>
          <w:rFonts w:cs="Arial"/>
          <w:kern w:val="0"/>
        </w:rPr>
        <w:t xml:space="preserve">, 2018, 2023; Da Rosa </w:t>
      </w:r>
      <w:r w:rsidRPr="00A519A4">
        <w:rPr>
          <w:rFonts w:cs="Arial"/>
          <w:i/>
          <w:iCs/>
          <w:kern w:val="0"/>
        </w:rPr>
        <w:t>et al.</w:t>
      </w:r>
      <w:r w:rsidRPr="00A519A4">
        <w:rPr>
          <w:rFonts w:cs="Arial"/>
          <w:kern w:val="0"/>
        </w:rPr>
        <w:t xml:space="preserve">, 2022; Gökşen; Kocaman; Yıldırım, 2023; Miñana-Signes </w:t>
      </w:r>
      <w:r w:rsidRPr="00A519A4">
        <w:rPr>
          <w:rFonts w:cs="Arial"/>
          <w:i/>
          <w:iCs/>
          <w:kern w:val="0"/>
        </w:rPr>
        <w:t>et al.</w:t>
      </w:r>
      <w:r w:rsidRPr="00A519A4">
        <w:rPr>
          <w:rFonts w:cs="Arial"/>
          <w:kern w:val="0"/>
        </w:rPr>
        <w:t xml:space="preserve">, 2021; Noll </w:t>
      </w:r>
      <w:r w:rsidRPr="00A519A4">
        <w:rPr>
          <w:rFonts w:cs="Arial"/>
          <w:i/>
          <w:iCs/>
          <w:kern w:val="0"/>
        </w:rPr>
        <w:t>et al.</w:t>
      </w:r>
      <w:r w:rsidRPr="00A519A4">
        <w:rPr>
          <w:rFonts w:cs="Arial"/>
          <w:kern w:val="0"/>
        </w:rPr>
        <w:t xml:space="preserve">, 2013a; Pivotto </w:t>
      </w:r>
      <w:r w:rsidRPr="00A519A4">
        <w:rPr>
          <w:rFonts w:cs="Arial"/>
          <w:i/>
          <w:iCs/>
          <w:kern w:val="0"/>
        </w:rPr>
        <w:t>et al.</w:t>
      </w:r>
      <w:r w:rsidRPr="00A519A4">
        <w:rPr>
          <w:rFonts w:cs="Arial"/>
          <w:kern w:val="0"/>
        </w:rPr>
        <w:t>, 2018)</w:t>
      </w:r>
      <w:r>
        <w:fldChar w:fldCharType="end"/>
      </w:r>
      <w:r>
        <w:t xml:space="preserve">, o estudo restante realiza o desenvolvimento e avaliação do BABAQ, um sistema de medição dedicado </w:t>
      </w:r>
      <w:r w:rsidR="00A43DDD">
        <w:t xml:space="preserve">a avaliação de comportamentos de cuidados com a lombar </w:t>
      </w:r>
      <w:r w:rsidR="00A43DDD">
        <w:fldChar w:fldCharType="begin"/>
      </w:r>
      <w:r w:rsidR="00A43DDD">
        <w:instrText xml:space="preserve"> ADDIN ZOTERO_ITEM CSL_CITATION {"citationID":"ZFQpaO19","properties":{"formattedCitation":"(Akbari-Chehrehbargh; Tavafian; Montazeri, 2020)","plainCitation":"(Akbari-Chehrehbargh; Tavafian; Montazeri, 2020)","noteIndex":0},"citationItems":[{"id":2233,"uris":["http://zotero.org/groups/5422192/items/UK6UTSIQ"],"itemData":{"id":2233,"type":"article-journal","abstract":"Background: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Sadat"},{"family":"Montazeri","given":"A."}],"issued":{"date-parts":[["2020"]]}}}],"schema":"https://github.com/citation-style-language/schema/raw/master/csl-citation.json"} </w:instrText>
      </w:r>
      <w:r w:rsidR="00A43DDD">
        <w:fldChar w:fldCharType="separate"/>
      </w:r>
      <w:r w:rsidR="00A43DDD" w:rsidRPr="00A43DDD">
        <w:rPr>
          <w:rFonts w:cs="Arial"/>
        </w:rPr>
        <w:t>(Akbari-Chehrehbargh; Tavafian; Montazeri, 2020)</w:t>
      </w:r>
      <w:r w:rsidR="00A43DDD">
        <w:fldChar w:fldCharType="end"/>
      </w:r>
      <w:r w:rsidR="00A43DDD">
        <w:t>. Este estudo foi mantido, mesmo não tendo foco no BackPEI, pois trata-se de uma pesquisa de clinimetria e o BacKPEI foi utilizado no desenvolvimento do BABAQ.</w:t>
      </w:r>
    </w:p>
    <w:p w14:paraId="0FE46974" w14:textId="2230E496" w:rsidR="00A43DDD" w:rsidRDefault="00A43DDD" w:rsidP="00685C2E">
      <w:r>
        <w:t xml:space="preserve">Foram identificadas </w:t>
      </w:r>
      <w:r w:rsidR="003434DC">
        <w:t>oito</w:t>
      </w:r>
      <w:r>
        <w:t xml:space="preserve"> diferentes versões do BackPEI e seu desenvolvimento e avaliação estão expostos na </w:t>
      </w:r>
      <w:r w:rsidRPr="00A43DDD">
        <w:rPr>
          <w:b/>
          <w:bCs/>
        </w:rPr>
        <w:t>figura x</w:t>
      </w:r>
      <w:r>
        <w:rPr>
          <w:b/>
          <w:bCs/>
        </w:rPr>
        <w:t xml:space="preserve">. </w:t>
      </w:r>
      <w:r>
        <w:t xml:space="preserve">Em 2013 </w:t>
      </w:r>
      <w:r w:rsidR="003434DC">
        <w:t>foi realizado desenvolvido</w:t>
      </w:r>
      <w:r>
        <w:t xml:space="preserve"> o desenvolvimento da versão</w:t>
      </w:r>
      <w:r w:rsidR="003E55C8">
        <w:t xml:space="preserve"> original</w:t>
      </w:r>
      <w:r>
        <w:t xml:space="preserve"> do BackPEI, em português, e realizada a tradução do questionário para o inglês </w:t>
      </w:r>
      <w:r>
        <w:fldChar w:fldCharType="begin"/>
      </w:r>
      <w:r>
        <w:instrText xml:space="preserve"> ADDIN ZOTERO_ITEM CSL_CITATION {"citationID":"neFWMKLZ","properties":{"formattedCitation":"(Noll {\\i{}et al.}, 2013a)","plainCitation":"(Noll et al., 2013a)","noteIndex":0},"citationItems":[{"id":1691,"uris":["http://zotero.org/groups/5422192/items/7SSP93UA"],"itemData":{"id":1691,"type":"article-journal","abstract":"Objectives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fldChar w:fldCharType="separate"/>
      </w:r>
      <w:r w:rsidRPr="00A43DDD">
        <w:rPr>
          <w:rFonts w:cs="Arial"/>
          <w:kern w:val="0"/>
        </w:rPr>
        <w:t xml:space="preserve">(Noll </w:t>
      </w:r>
      <w:r w:rsidRPr="00A43DDD">
        <w:rPr>
          <w:rFonts w:cs="Arial"/>
          <w:i/>
          <w:iCs/>
          <w:kern w:val="0"/>
        </w:rPr>
        <w:t>et al.</w:t>
      </w:r>
      <w:r w:rsidRPr="00A43DDD">
        <w:rPr>
          <w:rFonts w:cs="Arial"/>
          <w:kern w:val="0"/>
        </w:rPr>
        <w:t>, 2013a)</w:t>
      </w:r>
      <w:r>
        <w:fldChar w:fldCharType="end"/>
      </w:r>
      <w:r>
        <w:t>.</w:t>
      </w:r>
      <w:r w:rsidR="003E55C8">
        <w:t xml:space="preserve"> A </w:t>
      </w:r>
      <w:r>
        <w:t xml:space="preserve"> </w:t>
      </w:r>
      <w:commentRangeStart w:id="9"/>
      <w:r>
        <w:t xml:space="preserve">Essas versões ganham um sistema de pontuação em 2018 </w:t>
      </w:r>
      <w:r>
        <w:fldChar w:fldCharType="begin"/>
      </w:r>
      <w:r>
        <w:instrText xml:space="preserve"> ADDIN ZOTERO_ITEM CSL_CITATION {"citationID":"hGOQurX6","properties":{"formattedCitation":"(Pivotto {\\i{}et al.}, 2018)","plainCitation":"(Pivotto et al., 2018)","noteIndex":0},"citationItems":[{"id":1656,"uris":["http://zotero.org/groups/5422192/items/X79HU8MT"],"itemData":{"id":1656,"type":"article-journal","abstract":"Questionnaires are important tools to assessment due its easy application, low charge and possibility of self-report of the assessed. The Back Pain and Body Posture Evaluation Instrument (BackPEI) and the Back Pain and Body Posture Evaluation Instrument for Adults (BackPEI-A) are questionnaires to assess the back-pain presence and associated risk factors. The BackPEI assess only school children while BackPEI-A assess only adults and has a score system which indicates the subject risk factors exposition level to back pain development. The aim is proposing a score system specific to BackPEI. The score system uses only those questions involving risk factors to back pain development, such as: physical exercise practice; time spent watching television and using computer; number of hours sleeping and habit of reading/studying on bed; occurrence of back pain among parents; postures adopted to sleep, to sit, to write, to use computer and to lift an object from the ground; school bag used to transport material and mode of transportation school bag; and parents’ schooling. As higher as the score, lower is the risk factors exposition to back pain. From this communication, BackPEI has a general score system which expresses the level of risk factor exposition to back pain development among school children.","container-title":"Journal of Head Neck &amp; Spine Surgery","DOI":"10.19080/JHNSS.2018.03.555618","ISSN":"25772864","issue":"4","journalAbbreviation":"JHNSS","language":"en","source":"DOI.org (Crossref)","title":"Proposition of a General Scoring System to the BackPEI","URL":"https://juniperpublishers.com/jhnss/JHNSS.MS.ID.555618.php","volume":"3","author":[{"family":"Pivotto","given":"Luiza Rampi"},{"family":"Rosa","given":"Bruna Nichele","dropping-particle":"da"},{"family":"Candotti","given":"Cláudia Tarragô"},{"family":"Noll","given":"Matias"},{"family":"Vieira","given":"Adriane"},{"family":"Loss","given":"Jefferson Fagundes"}],"accessed":{"date-parts":[["2022",5,27]]},"issued":{"date-parts":[["2018",10,3]]}}}],"schema":"https://github.com/citation-style-language/schema/raw/master/csl-citation.json"} </w:instrText>
      </w:r>
      <w:r>
        <w:fldChar w:fldCharType="separate"/>
      </w:r>
      <w:r w:rsidRPr="00A43DDD">
        <w:rPr>
          <w:rFonts w:cs="Arial"/>
          <w:kern w:val="0"/>
        </w:rPr>
        <w:t xml:space="preserve">(Pivotto </w:t>
      </w:r>
      <w:r w:rsidRPr="00A43DDD">
        <w:rPr>
          <w:rFonts w:cs="Arial"/>
          <w:i/>
          <w:iCs/>
          <w:kern w:val="0"/>
        </w:rPr>
        <w:t>et al.</w:t>
      </w:r>
      <w:r w:rsidRPr="00A43DDD">
        <w:rPr>
          <w:rFonts w:cs="Arial"/>
          <w:kern w:val="0"/>
        </w:rPr>
        <w:t>, 2018)</w:t>
      </w:r>
      <w:r>
        <w:fldChar w:fldCharType="end"/>
      </w:r>
      <w:r>
        <w:t>.</w:t>
      </w:r>
      <w:commentRangeEnd w:id="9"/>
      <w:r>
        <w:rPr>
          <w:rStyle w:val="Refdecomentrio"/>
        </w:rPr>
        <w:commentReference w:id="9"/>
      </w:r>
      <w:r>
        <w:t xml:space="preserve"> Originalmente o BackPEI se dedicava a dor lombar e fatores de risco e era destinado a crianças em idade escolar. Em 2018</w:t>
      </w:r>
      <w:r w:rsidR="003E55C8">
        <w:t xml:space="preserve"> também</w:t>
      </w:r>
      <w:r>
        <w:t xml:space="preserve"> </w:t>
      </w:r>
      <w:r w:rsidR="003434DC">
        <w:t>foi</w:t>
      </w:r>
      <w:r>
        <w:t xml:space="preserve"> elaborado o BackPEI-A</w:t>
      </w:r>
      <w:r w:rsidR="003E55C8">
        <w:t>, destinado a adultos e que inclui, além da dor lombar e fatores de risco, a dor cervical e seus fatores risco</w:t>
      </w:r>
      <w:r w:rsidR="003434DC">
        <w:t>, já</w:t>
      </w:r>
      <w:r w:rsidR="003E55C8">
        <w:t xml:space="preserve"> contando com um sistema de pontuação. </w:t>
      </w:r>
      <w:r w:rsidR="003434DC">
        <w:t>O BackPEI-A também foi</w:t>
      </w:r>
      <w:r w:rsidR="003E55C8">
        <w:t xml:space="preserve"> desenvolvido em português e traduzido para o inglês </w:t>
      </w:r>
      <w:r w:rsidR="003E55C8">
        <w:fldChar w:fldCharType="begin"/>
      </w:r>
      <w:r w:rsidR="003E55C8">
        <w:instrText xml:space="preserve"> ADDIN ZOTERO_ITEM CSL_CITATION {"citationID":"zNclDST7","properties":{"formattedCitation":"(Candotti {\\i{}et al.}, 2018)","plainCitation":"(Candotti et al., 2018)","noteIndex":0},"citationItems":[{"id":1675,"uris":["http://zotero.org/groups/5422192/items/Z8FACCC6"],"itemData":{"id":1675,"type":"article-journal","container-title":"Pain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Fagundes"}],"issued":{"date-parts":[["2018",8]]}}}],"schema":"https://github.com/citation-style-language/schema/raw/master/csl-citation.json"} </w:instrText>
      </w:r>
      <w:r w:rsidR="003E55C8">
        <w:fldChar w:fldCharType="separate"/>
      </w:r>
      <w:r w:rsidR="003E55C8" w:rsidRPr="003E55C8">
        <w:rPr>
          <w:rFonts w:cs="Arial"/>
          <w:kern w:val="0"/>
        </w:rPr>
        <w:t xml:space="preserve">(Candotti </w:t>
      </w:r>
      <w:r w:rsidR="003E55C8" w:rsidRPr="003E55C8">
        <w:rPr>
          <w:rFonts w:cs="Arial"/>
          <w:i/>
          <w:iCs/>
          <w:kern w:val="0"/>
        </w:rPr>
        <w:t>et al.</w:t>
      </w:r>
      <w:r w:rsidR="003E55C8" w:rsidRPr="003E55C8">
        <w:rPr>
          <w:rFonts w:cs="Arial"/>
          <w:kern w:val="0"/>
        </w:rPr>
        <w:t>, 2018)</w:t>
      </w:r>
      <w:r w:rsidR="003E55C8">
        <w:fldChar w:fldCharType="end"/>
      </w:r>
      <w:r w:rsidR="003E55C8">
        <w:t xml:space="preserve">. A partir da tradução em inglês do BackPEI orginal </w:t>
      </w:r>
      <w:r w:rsidR="003434DC">
        <w:t>foi</w:t>
      </w:r>
      <w:r w:rsidR="003E55C8">
        <w:t xml:space="preserve"> desenvolvida uma versão em turco em 2019</w:t>
      </w:r>
      <w:r w:rsidR="00295721">
        <w:t xml:space="preserve"> </w:t>
      </w:r>
      <w:r w:rsidR="00220253">
        <w:fldChar w:fldCharType="begin"/>
      </w:r>
      <w:r w:rsidR="00220253">
        <w:instrText xml:space="preserve"> ADDIN ZOTERO_ITEM CSL_CITATION {"citationID":"3GzPhkLN","properties":{"formattedCitation":"(Bebi\\uc0\\u351{}; Gen\\uc0\\u231{}ba\\uc0\\u351{}, 2019)","plainCitation":"(Bebiş; Gençbaş, 2019)","noteIndex":0},"citationItems":[{"id":1647,"uris":["http://zotero.org/groups/5422192/items/FG7NR2KA"],"itemData":{"id":1647,"type":"article-journal","container-title":"Acibadem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Aracı","volume":"10","author":[{"family":"Bebiş","given":"Hatice"},{"family":"Gençbaş","given":"Dercan"}],"issued":{"date-parts":[["2019"]]}}}],"schema":"https://github.com/citation-style-language/schema/raw/master/csl-citation.json"} </w:instrText>
      </w:r>
      <w:r w:rsidR="00220253">
        <w:fldChar w:fldCharType="separate"/>
      </w:r>
      <w:r w:rsidR="00220253" w:rsidRPr="00220253">
        <w:rPr>
          <w:rFonts w:cs="Arial"/>
          <w:kern w:val="0"/>
        </w:rPr>
        <w:t>(Bebiş; Gençbaş, 2019)</w:t>
      </w:r>
      <w:r w:rsidR="00220253">
        <w:fldChar w:fldCharType="end"/>
      </w:r>
      <w:r w:rsidR="00220253">
        <w:t xml:space="preserve"> e a versão em espanhol é desenvolvida em 2021 a partir da versão em </w:t>
      </w:r>
      <w:r w:rsidR="00220253">
        <w:lastRenderedPageBreak/>
        <w:t xml:space="preserve">português do BackPEI já considerando o sistema de pontuação </w:t>
      </w:r>
      <w:r w:rsidR="00220253">
        <w:fldChar w:fldCharType="begin"/>
      </w:r>
      <w:r w:rsidR="00220253">
        <w:instrText xml:space="preserve"> ADDIN ZOTERO_ITEM CSL_CITATION {"citationID":"wDdZaUeg","properties":{"formattedCitation":"(Mi\\uc0\\u241{}ana-Signes {\\i{}et al.}, 2021)","plainCitation":"(Miñana-Signes et al., 2021)","noteIndex":0},"citationItems":[{"id":1646,"uris":["http://zotero.org/groups/5422192/items/YSVGNN62"],"itemData":{"id":1646,"type":"article-journal","abstract":"The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schema":"https://github.com/citation-style-language/schema/raw/master/csl-citation.json"} </w:instrText>
      </w:r>
      <w:r w:rsidR="00220253">
        <w:fldChar w:fldCharType="separate"/>
      </w:r>
      <w:r w:rsidR="00220253" w:rsidRPr="00220253">
        <w:rPr>
          <w:rFonts w:cs="Arial"/>
          <w:kern w:val="0"/>
        </w:rPr>
        <w:t xml:space="preserve">(Miñana-Signes </w:t>
      </w:r>
      <w:r w:rsidR="00220253" w:rsidRPr="00220253">
        <w:rPr>
          <w:rFonts w:cs="Arial"/>
          <w:i/>
          <w:iCs/>
          <w:kern w:val="0"/>
        </w:rPr>
        <w:t>et al.</w:t>
      </w:r>
      <w:r w:rsidR="00220253" w:rsidRPr="00220253">
        <w:rPr>
          <w:rFonts w:cs="Arial"/>
          <w:kern w:val="0"/>
        </w:rPr>
        <w:t>, 2021)</w:t>
      </w:r>
      <w:r w:rsidR="00220253">
        <w:fldChar w:fldCharType="end"/>
      </w:r>
      <w:r w:rsidR="00220253">
        <w:t xml:space="preserve">. Em 2022, tendo como base as versões em português do BackPEI e BackPEI-A </w:t>
      </w:r>
      <w:r w:rsidR="003434DC">
        <w:t>foi desenvolvido</w:t>
      </w:r>
      <w:r w:rsidR="00220253">
        <w:t xml:space="preserve"> um novo sistema de medição</w:t>
      </w:r>
      <w:r w:rsidR="00B14AD2">
        <w:t>, o</w:t>
      </w:r>
      <w:r w:rsidR="00220253">
        <w:t xml:space="preserve"> BackPEI-CA.</w:t>
      </w:r>
      <w:r w:rsidR="00B14AD2">
        <w:t xml:space="preserve"> Este é destinado a crianças e adolescentes e tem como objeto de medição dor lombar e cervical e seus fatores de risco, incluindo o uso de dispositivos móveis e a aplicação remota do questionário.</w:t>
      </w:r>
      <w:r w:rsidR="00220253">
        <w:t xml:space="preserve"> </w:t>
      </w:r>
      <w:r w:rsidR="00B14AD2">
        <w:t xml:space="preserve">Esta nova versão foi desenvolvida em português e foi traduzida, tendo também uma versão em inglês </w:t>
      </w:r>
      <w:r w:rsidR="00B14AD2">
        <w:fldChar w:fldCharType="begin"/>
      </w:r>
      <w:r w:rsidR="00B14AD2">
        <w:instrText xml:space="preserve"> ADDIN ZOTERO_ITEM CSL_CITATION {"citationID":"WfYoK3al","properties":{"formattedCitation":"(Da Rosa {\\i{}et al.}, 2022)","plainCitation":"(Da Rosa et al., 2022)","noteIndex":0},"citationItems":[{"id":1671,"uris":["http://zotero.org/groups/5422192/items/5D55KD4G"],"itemData":{"id":1671,"type":"article-journal","abstract":"The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Fagundes"}],"issued":{"date-parts":[["2022",1,27]]}}}],"schema":"https://github.com/citation-style-language/schema/raw/master/csl-citation.json"} </w:instrText>
      </w:r>
      <w:r w:rsidR="00B14AD2">
        <w:fldChar w:fldCharType="separate"/>
      </w:r>
      <w:r w:rsidR="00B14AD2" w:rsidRPr="00B14AD2">
        <w:rPr>
          <w:rFonts w:cs="Arial"/>
          <w:kern w:val="0"/>
        </w:rPr>
        <w:t xml:space="preserve">(Da Rosa </w:t>
      </w:r>
      <w:r w:rsidR="00B14AD2" w:rsidRPr="00B14AD2">
        <w:rPr>
          <w:rFonts w:cs="Arial"/>
          <w:i/>
          <w:iCs/>
          <w:kern w:val="0"/>
        </w:rPr>
        <w:t>et al.</w:t>
      </w:r>
      <w:r w:rsidR="00B14AD2" w:rsidRPr="00B14AD2">
        <w:rPr>
          <w:rFonts w:cs="Arial"/>
          <w:kern w:val="0"/>
        </w:rPr>
        <w:t>, 2022)</w:t>
      </w:r>
      <w:r w:rsidR="00B14AD2">
        <w:fldChar w:fldCharType="end"/>
      </w:r>
      <w:r w:rsidR="00B14AD2">
        <w:t xml:space="preserve">. Posteriormente, em 2023, o BackPEI-A </w:t>
      </w:r>
      <w:r w:rsidR="003434DC">
        <w:t>foi</w:t>
      </w:r>
      <w:r w:rsidR="00B14AD2">
        <w:t xml:space="preserve"> atualizado passando a abranger também o uso de dispositivos móveis como um fator de risco</w:t>
      </w:r>
      <w:r w:rsidR="003434DC">
        <w:t>, além da possibilidade de</w:t>
      </w:r>
      <w:r w:rsidR="00B14AD2">
        <w:t xml:space="preserve"> aplicação remota </w:t>
      </w:r>
      <w:r w:rsidR="00B14AD2">
        <w:fldChar w:fldCharType="begin"/>
      </w:r>
      <w:r w:rsidR="00B14AD2">
        <w:instrText xml:space="preserve"> ADDIN ZOTERO_ITEM CSL_CITATION {"citationID":"uD0A7gGt","properties":{"formattedCitation":"(Candotti {\\i{}et al.}, 2023)","plainCitation":"(Candotti et al., 2023)","noteIndex":0},"citationItems":[{"id":2289,"uris":["http://zotero.org/groups/5422192/items/NLA5EGR8"],"itemData":{"id":2289,"type":"article-journal","abstract":"Introduction: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B14AD2">
        <w:fldChar w:fldCharType="separate"/>
      </w:r>
      <w:r w:rsidR="00B14AD2" w:rsidRPr="00B14AD2">
        <w:rPr>
          <w:rFonts w:cs="Arial"/>
          <w:kern w:val="0"/>
        </w:rPr>
        <w:t xml:space="preserve">(Candotti </w:t>
      </w:r>
      <w:r w:rsidR="00B14AD2" w:rsidRPr="00B14AD2">
        <w:rPr>
          <w:rFonts w:cs="Arial"/>
          <w:i/>
          <w:iCs/>
          <w:kern w:val="0"/>
        </w:rPr>
        <w:t>et al.</w:t>
      </w:r>
      <w:r w:rsidR="00B14AD2" w:rsidRPr="00B14AD2">
        <w:rPr>
          <w:rFonts w:cs="Arial"/>
          <w:kern w:val="0"/>
        </w:rPr>
        <w:t>, 2023)</w:t>
      </w:r>
      <w:r w:rsidR="00B14AD2">
        <w:fldChar w:fldCharType="end"/>
      </w:r>
      <w:r w:rsidR="00B14AD2">
        <w:t>.</w:t>
      </w:r>
    </w:p>
    <w:p w14:paraId="41DDB30F" w14:textId="21066B96" w:rsidR="00B604AE" w:rsidRDefault="00B604AE" w:rsidP="00685C2E">
      <w:commentRangeStart w:id="10"/>
      <w:commentRangeStart w:id="11"/>
      <w:r>
        <w:rPr>
          <w:noProof/>
        </w:rPr>
        <w:lastRenderedPageBreak/>
        <w:drawing>
          <wp:inline distT="0" distB="0" distL="0" distR="0" wp14:anchorId="0E5A30A3" wp14:editId="7E1B6B02">
            <wp:extent cx="5760085" cy="6614795"/>
            <wp:effectExtent l="0" t="0" r="0" b="0"/>
            <wp:docPr id="3" name="Imagem 3" descr="Diagrama, Esquemát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Esquemático&#10;&#10;O conteúdo gerado por IA pode estar incorre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6614795"/>
                    </a:xfrm>
                    <a:prstGeom prst="rect">
                      <a:avLst/>
                    </a:prstGeom>
                  </pic:spPr>
                </pic:pic>
              </a:graphicData>
            </a:graphic>
          </wp:inline>
        </w:drawing>
      </w:r>
      <w:commentRangeEnd w:id="10"/>
      <w:commentRangeEnd w:id="11"/>
      <w:r w:rsidR="007118B6">
        <w:rPr>
          <w:rStyle w:val="Refdecomentrio"/>
        </w:rPr>
        <w:commentReference w:id="11"/>
      </w:r>
      <w:r>
        <w:rPr>
          <w:rStyle w:val="Refdecomentrio"/>
        </w:rPr>
        <w:commentReference w:id="10"/>
      </w:r>
    </w:p>
    <w:p w14:paraId="40254C18" w14:textId="77777777" w:rsidR="00A56B12" w:rsidRPr="00A43DDD" w:rsidRDefault="00A56B12" w:rsidP="00685C2E"/>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r w:rsidR="000A23EF">
        <w:t xml:space="preserve">O </w:t>
      </w:r>
      <w:r>
        <w:t xml:space="preserve"> PRISMA-ScR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5-02T10:23:00Z" w:initials="LB">
    <w:p w14:paraId="6840AA4B" w14:textId="2AD1FE92" w:rsidR="00F97685" w:rsidRDefault="00F97685">
      <w:pPr>
        <w:pStyle w:val="Textodecomentrio"/>
      </w:pPr>
      <w:r>
        <w:rPr>
          <w:rStyle w:val="Refdecomentrio"/>
        </w:rPr>
        <w:annotationRef/>
      </w:r>
      <w:r>
        <w:t>Minha preocupação é parecer que a Clinimetria é uma ciência complementar e não a disciplina da ciência normal da saúde dedicada ao desenvolvimento e avaliação de instrumentos de medição</w:t>
      </w:r>
    </w:p>
  </w:comment>
  <w:comment w:id="2" w:author="Lucas Beraldo" w:date="2025-05-02T10:26:00Z" w:initials="LB">
    <w:p w14:paraId="51919C6D" w14:textId="605E6166" w:rsidR="00F97685" w:rsidRDefault="00F97685">
      <w:pPr>
        <w:pStyle w:val="Textodecomentrio"/>
      </w:pPr>
      <w:r>
        <w:rPr>
          <w:rStyle w:val="Refdecomentrio"/>
        </w:rPr>
        <w:annotationRef/>
      </w:r>
      <w:r>
        <w:t>Formatar</w:t>
      </w:r>
    </w:p>
  </w:comment>
  <w:comment w:id="3" w:author="Lucas Beraldo" w:date="2025-05-02T10:27:00Z" w:initials="LB">
    <w:p w14:paraId="00353440" w14:textId="52A7B920" w:rsidR="00F97685" w:rsidRDefault="00F97685">
      <w:pPr>
        <w:pStyle w:val="Textodecomentrio"/>
      </w:pPr>
      <w:r>
        <w:rPr>
          <w:rStyle w:val="Refdecomentrio"/>
        </w:rPr>
        <w:annotationRef/>
      </w:r>
      <w:r>
        <w:t>Cláudia sugeriu “clinimetria” mas eu substitui pra não dar aquela impressão equivocada quanto ao conceito de clinimetria</w:t>
      </w:r>
    </w:p>
  </w:comment>
  <w:comment w:id="4" w:author="Lucas Beraldo" w:date="2025-04-22T11:50:00Z" w:initials="LB">
    <w:p w14:paraId="626EB56A" w14:textId="11842911" w:rsidR="00387624" w:rsidRDefault="00387624">
      <w:pPr>
        <w:pStyle w:val="Textodecomentrio"/>
      </w:pPr>
      <w:r>
        <w:rPr>
          <w:rStyle w:val="Refdecomentrio"/>
        </w:rPr>
        <w:annotationRef/>
      </w:r>
      <w:r>
        <w:t>Eu coloquei 1 estudo de cada ano desde o desenvolvimento do backpei procurando ter ua diversidade de tipos de estudos e de grupos de pesquisa.</w:t>
      </w:r>
    </w:p>
  </w:comment>
  <w:comment w:id="5" w:author="Lucas Beraldo" w:date="2025-04-22T20:55:00Z" w:initials="LB">
    <w:p w14:paraId="319CE4F6" w14:textId="1EC1D13A" w:rsidR="004031C0" w:rsidRDefault="004031C0">
      <w:pPr>
        <w:pStyle w:val="Textodecomentrio"/>
      </w:pPr>
      <w:r>
        <w:rPr>
          <w:rStyle w:val="Refdecomentrio"/>
        </w:rPr>
        <w:annotationRef/>
      </w:r>
      <w:r>
        <w:t>Eu fiz até aqui.</w:t>
      </w:r>
    </w:p>
  </w:comment>
  <w:comment w:id="6" w:author="Lucas Beraldo" w:date="2025-05-02T12:05:00Z" w:initials="LB">
    <w:p w14:paraId="7C37C8D8" w14:textId="3F668354" w:rsidR="00EB6F1D" w:rsidRDefault="00EB6F1D">
      <w:pPr>
        <w:pStyle w:val="Textodecomentrio"/>
      </w:pPr>
      <w:r>
        <w:rPr>
          <w:rStyle w:val="Refdecomentrio"/>
        </w:rPr>
        <w:annotationRef/>
      </w:r>
      <w:r>
        <w:t>Escrever melhor e completar</w:t>
      </w:r>
    </w:p>
  </w:comment>
  <w:comment w:id="7" w:author="Lucas Beraldo" w:date="2025-05-02T10:34:00Z" w:initials="LB">
    <w:p w14:paraId="251713A2" w14:textId="79E90B48" w:rsidR="003434DC" w:rsidRDefault="003434DC">
      <w:pPr>
        <w:pStyle w:val="Textodecomentrio"/>
      </w:pPr>
      <w:r>
        <w:rPr>
          <w:rStyle w:val="Refdecomentrio"/>
        </w:rPr>
        <w:annotationRef/>
      </w:r>
      <w:r>
        <w:t>Ajeitar logo isso</w:t>
      </w:r>
    </w:p>
  </w:comment>
  <w:comment w:id="8" w:author="Lucas Beraldo" w:date="2025-05-02T10:34:00Z" w:initials="LB">
    <w:p w14:paraId="09ED53DE" w14:textId="1EF71AE0" w:rsidR="003434DC" w:rsidRDefault="003434DC">
      <w:pPr>
        <w:pStyle w:val="Textodecomentrio"/>
      </w:pPr>
      <w:r>
        <w:rPr>
          <w:rStyle w:val="Refdecomentrio"/>
        </w:rPr>
        <w:annotationRef/>
      </w:r>
      <w:r>
        <w:t>Fluxograma do processo de seleção dos artigos</w:t>
      </w:r>
    </w:p>
  </w:comment>
  <w:comment w:id="9" w:author="Lucas Beraldo" w:date="2025-04-30T10:41:00Z" w:initials="LB">
    <w:p w14:paraId="454C8D45" w14:textId="278768DF" w:rsidR="00A43DDD" w:rsidRDefault="00A43DDD">
      <w:pPr>
        <w:pStyle w:val="Textodecomentrio"/>
      </w:pPr>
      <w:r>
        <w:rPr>
          <w:rStyle w:val="Refdecomentrio"/>
        </w:rPr>
        <w:annotationRef/>
      </w:r>
      <w:r>
        <w:t>Explicar o sistema de pontuação?</w:t>
      </w:r>
    </w:p>
  </w:comment>
  <w:comment w:id="11" w:author="Lucas Beraldo" w:date="2025-05-02T10:42:00Z" w:initials="LB">
    <w:p w14:paraId="3BEF128E" w14:textId="70616932" w:rsidR="007118B6" w:rsidRDefault="007118B6">
      <w:pPr>
        <w:pStyle w:val="Textodecomentrio"/>
      </w:pPr>
      <w:r>
        <w:rPr>
          <w:rStyle w:val="Refdecomentrio"/>
        </w:rPr>
        <w:annotationRef/>
      </w:r>
      <w:r w:rsidRPr="007118B6">
        <w:t>Linha do tempo do BackPEI</w:t>
      </w:r>
    </w:p>
  </w:comment>
  <w:comment w:id="10" w:author="Lucas Beraldo" w:date="2025-04-30T11:12:00Z" w:initials="LB">
    <w:p w14:paraId="16794D26" w14:textId="43FC8DDF" w:rsidR="00B604AE" w:rsidRDefault="00B604AE">
      <w:pPr>
        <w:pStyle w:val="Textodecomentrio"/>
      </w:pPr>
      <w:r>
        <w:rPr>
          <w:rStyle w:val="Refdecomentrio"/>
        </w:rPr>
        <w:annotationRef/>
      </w:r>
      <w:r>
        <w:t>Essa é a imagem que eu te mandei semana passada. Por um lado eu acho que ela está bem boa, pois me ajudou bastante a entender a evolução do BackPEI e a escrever o texto. Por outro lado eu acho que ela está bem ruim pois não sei se dá pra entender muito bem. Agora que eu coloquei no texto até que não achei tão ruim, pensei que as letras iam ficar muuuuuito pequenas e a imagem no geral muuuuuito grandes.</w:t>
      </w:r>
      <w:r w:rsidR="00123FEF">
        <w:t xml:space="preserve"> Acho que dá pra melhorar aumentando o tamanho da fonte e tentando “desembaraçar” mais as linhas. E acho que alguma adequação do texto ainda vai ter que ser feita.</w:t>
      </w:r>
      <w:r>
        <w:t xml:space="preserve"> Mas diz aí o que você acha e se fazemos uma mudança</w:t>
      </w:r>
      <w:r w:rsidR="00123FEF">
        <w:t xml:space="preserve"> mais drástica</w:t>
      </w:r>
      <w:r>
        <w:t xml:space="preserve"> no layout</w:t>
      </w:r>
      <w:r w:rsidR="00123FEF">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840AA4B" w15:done="0"/>
  <w15:commentEx w15:paraId="51919C6D" w15:done="0"/>
  <w15:commentEx w15:paraId="00353440" w15:done="0"/>
  <w15:commentEx w15:paraId="626EB56A" w15:done="0"/>
  <w15:commentEx w15:paraId="319CE4F6" w15:done="0"/>
  <w15:commentEx w15:paraId="7C37C8D8" w15:done="0"/>
  <w15:commentEx w15:paraId="251713A2" w15:done="0"/>
  <w15:commentEx w15:paraId="09ED53DE" w15:done="0"/>
  <w15:commentEx w15:paraId="454C8D45" w15:done="0"/>
  <w15:commentEx w15:paraId="3BEF128E" w15:done="0"/>
  <w15:commentEx w15:paraId="16794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0A183901" w16cex:dateUtc="2025-05-02T13:23:00Z"/>
  <w16cex:commentExtensible w16cex:durableId="1CBCF4BB" w16cex:dateUtc="2025-05-02T13:26:00Z"/>
  <w16cex:commentExtensible w16cex:durableId="2957C288" w16cex:dateUtc="2025-05-02T13:27:00Z"/>
  <w16cex:commentExtensible w16cex:durableId="2B715147" w16cex:dateUtc="2025-04-22T14:50:00Z"/>
  <w16cex:commentExtensible w16cex:durableId="581EF691" w16cex:dateUtc="2025-04-22T23:55:00Z"/>
  <w16cex:commentExtensible w16cex:durableId="75816CB2" w16cex:dateUtc="2025-05-02T15:05:00Z"/>
  <w16cex:commentExtensible w16cex:durableId="4581CB3F" w16cex:dateUtc="2025-05-02T13:34:00Z"/>
  <w16cex:commentExtensible w16cex:durableId="3832BE17" w16cex:dateUtc="2025-05-02T13:34:00Z"/>
  <w16cex:commentExtensible w16cex:durableId="4C1F942A" w16cex:dateUtc="2025-04-30T13:41:00Z"/>
  <w16cex:commentExtensible w16cex:durableId="638062FA" w16cex:dateUtc="2025-05-02T13:42:00Z"/>
  <w16cex:commentExtensible w16cex:durableId="6083F73C" w16cex:dateUtc="2025-04-30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840AA4B" w16cid:durableId="0A183901"/>
  <w16cid:commentId w16cid:paraId="51919C6D" w16cid:durableId="1CBCF4BB"/>
  <w16cid:commentId w16cid:paraId="00353440" w16cid:durableId="2957C288"/>
  <w16cid:commentId w16cid:paraId="626EB56A" w16cid:durableId="2B715147"/>
  <w16cid:commentId w16cid:paraId="319CE4F6" w16cid:durableId="581EF691"/>
  <w16cid:commentId w16cid:paraId="7C37C8D8" w16cid:durableId="75816CB2"/>
  <w16cid:commentId w16cid:paraId="251713A2" w16cid:durableId="4581CB3F"/>
  <w16cid:commentId w16cid:paraId="09ED53DE" w16cid:durableId="3832BE17"/>
  <w16cid:commentId w16cid:paraId="454C8D45" w16cid:durableId="4C1F942A"/>
  <w16cid:commentId w16cid:paraId="3BEF128E" w16cid:durableId="638062FA"/>
  <w16cid:commentId w16cid:paraId="16794D26" w16cid:durableId="6083F7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062C6E"/>
    <w:rsid w:val="00084270"/>
    <w:rsid w:val="000A0591"/>
    <w:rsid w:val="000A23EF"/>
    <w:rsid w:val="000D0CF4"/>
    <w:rsid w:val="000E1494"/>
    <w:rsid w:val="00104AED"/>
    <w:rsid w:val="0010654A"/>
    <w:rsid w:val="00114726"/>
    <w:rsid w:val="00123FEF"/>
    <w:rsid w:val="001A3EC4"/>
    <w:rsid w:val="001E6B49"/>
    <w:rsid w:val="00217A89"/>
    <w:rsid w:val="00220253"/>
    <w:rsid w:val="002359F8"/>
    <w:rsid w:val="00265D4B"/>
    <w:rsid w:val="00295721"/>
    <w:rsid w:val="002D1018"/>
    <w:rsid w:val="00300C47"/>
    <w:rsid w:val="0033371D"/>
    <w:rsid w:val="00333742"/>
    <w:rsid w:val="003434DC"/>
    <w:rsid w:val="0036679F"/>
    <w:rsid w:val="00387624"/>
    <w:rsid w:val="003965BD"/>
    <w:rsid w:val="003A1FDB"/>
    <w:rsid w:val="003E55C8"/>
    <w:rsid w:val="003F65E3"/>
    <w:rsid w:val="004031C0"/>
    <w:rsid w:val="00443AB0"/>
    <w:rsid w:val="00447621"/>
    <w:rsid w:val="00461416"/>
    <w:rsid w:val="00482CA8"/>
    <w:rsid w:val="004C23A2"/>
    <w:rsid w:val="004C32AB"/>
    <w:rsid w:val="004D5209"/>
    <w:rsid w:val="00552241"/>
    <w:rsid w:val="005744EC"/>
    <w:rsid w:val="005832BF"/>
    <w:rsid w:val="005C0605"/>
    <w:rsid w:val="005D5A87"/>
    <w:rsid w:val="005F03ED"/>
    <w:rsid w:val="00615B56"/>
    <w:rsid w:val="00685C2E"/>
    <w:rsid w:val="007118B6"/>
    <w:rsid w:val="0072227D"/>
    <w:rsid w:val="007422A5"/>
    <w:rsid w:val="00782C48"/>
    <w:rsid w:val="007D34A7"/>
    <w:rsid w:val="007F0C84"/>
    <w:rsid w:val="00812EEA"/>
    <w:rsid w:val="008D358E"/>
    <w:rsid w:val="008F4158"/>
    <w:rsid w:val="0090110C"/>
    <w:rsid w:val="00950D33"/>
    <w:rsid w:val="0096625B"/>
    <w:rsid w:val="00A00C0D"/>
    <w:rsid w:val="00A43DDD"/>
    <w:rsid w:val="00A519A4"/>
    <w:rsid w:val="00A56B12"/>
    <w:rsid w:val="00A75950"/>
    <w:rsid w:val="00AE1D0D"/>
    <w:rsid w:val="00AE35CB"/>
    <w:rsid w:val="00B14AD2"/>
    <w:rsid w:val="00B604AE"/>
    <w:rsid w:val="00B8080A"/>
    <w:rsid w:val="00BB10E7"/>
    <w:rsid w:val="00BD572E"/>
    <w:rsid w:val="00C04196"/>
    <w:rsid w:val="00C27B98"/>
    <w:rsid w:val="00C75E8A"/>
    <w:rsid w:val="00CA3BA6"/>
    <w:rsid w:val="00CD5FF1"/>
    <w:rsid w:val="00CF2A1E"/>
    <w:rsid w:val="00D0062A"/>
    <w:rsid w:val="00D142C5"/>
    <w:rsid w:val="00D2684B"/>
    <w:rsid w:val="00D428E0"/>
    <w:rsid w:val="00D438F7"/>
    <w:rsid w:val="00D718BF"/>
    <w:rsid w:val="00DD05F6"/>
    <w:rsid w:val="00E10B02"/>
    <w:rsid w:val="00E44B18"/>
    <w:rsid w:val="00E50A79"/>
    <w:rsid w:val="00E644B2"/>
    <w:rsid w:val="00E914C2"/>
    <w:rsid w:val="00EA0024"/>
    <w:rsid w:val="00EB649E"/>
    <w:rsid w:val="00EB6F1D"/>
    <w:rsid w:val="00EC3269"/>
    <w:rsid w:val="00EF4D59"/>
    <w:rsid w:val="00F060AB"/>
    <w:rsid w:val="00F10DF7"/>
    <w:rsid w:val="00F15547"/>
    <w:rsid w:val="00F15868"/>
    <w:rsid w:val="00F23FBC"/>
    <w:rsid w:val="00F8100D"/>
    <w:rsid w:val="00F97685"/>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 w:type="paragraph" w:styleId="NormalWeb">
    <w:name w:val="Normal (Web)"/>
    <w:basedOn w:val="Normal"/>
    <w:uiPriority w:val="99"/>
    <w:semiHidden/>
    <w:unhideWhenUsed/>
    <w:rsid w:val="00F97685"/>
    <w:pPr>
      <w:spacing w:before="100" w:beforeAutospacing="1" w:after="100" w:afterAutospacing="1" w:line="240" w:lineRule="auto"/>
      <w:ind w:firstLine="0"/>
      <w:jc w:val="left"/>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129">
      <w:bodyDiv w:val="1"/>
      <w:marLeft w:val="0"/>
      <w:marRight w:val="0"/>
      <w:marTop w:val="0"/>
      <w:marBottom w:val="0"/>
      <w:divBdr>
        <w:top w:val="none" w:sz="0" w:space="0" w:color="auto"/>
        <w:left w:val="none" w:sz="0" w:space="0" w:color="auto"/>
        <w:bottom w:val="none" w:sz="0" w:space="0" w:color="auto"/>
        <w:right w:val="none" w:sz="0" w:space="0" w:color="auto"/>
      </w:divBdr>
    </w:div>
    <w:div w:id="432363425">
      <w:bodyDiv w:val="1"/>
      <w:marLeft w:val="0"/>
      <w:marRight w:val="0"/>
      <w:marTop w:val="0"/>
      <w:marBottom w:val="0"/>
      <w:divBdr>
        <w:top w:val="none" w:sz="0" w:space="0" w:color="auto"/>
        <w:left w:val="none" w:sz="0" w:space="0" w:color="auto"/>
        <w:bottom w:val="none" w:sz="0" w:space="0" w:color="auto"/>
        <w:right w:val="none" w:sz="0" w:space="0" w:color="auto"/>
      </w:divBdr>
    </w:div>
    <w:div w:id="13763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mberaldo/10-anos-de-back-pe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1687</TotalTime>
  <Pages>8</Pages>
  <Words>17600</Words>
  <Characters>95043</Characters>
  <Application>Microsoft Office Word</Application>
  <DocSecurity>0</DocSecurity>
  <Lines>792</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47</cp:revision>
  <dcterms:created xsi:type="dcterms:W3CDTF">2025-03-12T15:42:00Z</dcterms:created>
  <dcterms:modified xsi:type="dcterms:W3CDTF">2025-05-02T15:05:00Z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id="HWEY41qM"/&gt;&lt;style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