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Back Pain and Body Posture Assessment Intrument</w:t>
      </w:r>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PRISMA-ScR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r w:rsidR="007D34A7">
        <w:t>Pubmed, Scopus e Lilacs a</w:t>
      </w:r>
      <w:r w:rsidR="000A23EF">
        <w:t xml:space="preserve"> partir da</w:t>
      </w:r>
      <w:r w:rsidR="007D34A7">
        <w:t xml:space="preserve"> chave</w:t>
      </w:r>
      <w:r w:rsidR="000A23EF">
        <w:t xml:space="preserve">: "Sırt Ağrısı ve Vücut Duruşu Değerlendirme Aracı’nın" OR "BackPEI" OR "BackPEI-A" OR "BackPEI-CA" OR "Back </w:t>
      </w:r>
      <w:r w:rsidR="000A23EF">
        <w:lastRenderedPageBreak/>
        <w:t>Pain and Body Posture Evaluation Instrument"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clinimétricas utilizando o Web of Science, Scopus, Pubmed, Semantic Scholar</w:t>
      </w:r>
      <w:r w:rsidR="00F060AB">
        <w:t xml:space="preserve"> e</w:t>
      </w:r>
      <w:r w:rsidR="00E50A79">
        <w:t xml:space="preserve"> Research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Rayyan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sendo estabelecido que caso esta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Zotero</w:t>
      </w:r>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coloboradoras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347BFEC6"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w:t>
      </w:r>
      <w:r w:rsidR="00667A77">
        <w:t>,</w:t>
      </w:r>
      <w:r w:rsidR="00782C48">
        <w:t xml:space="preserve">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9"/>
          <w:pgSz w:w="11906" w:h="16838"/>
          <w:pgMar w:top="1701" w:right="1134" w:bottom="1134" w:left="1701" w:header="708" w:footer="708" w:gutter="0"/>
          <w:cols w:space="708"/>
          <w:docGrid w:linePitch="360"/>
        </w:sectPr>
      </w:pPr>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copilot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Rayyan</w:t>
      </w:r>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Rayyan e importadas para o Zotero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r w:rsidRPr="009F0C8B">
              <w:rPr>
                <w:rFonts w:eastAsia="Times New Roman" w:cs="Arial"/>
                <w:kern w:val="0"/>
                <w:sz w:val="20"/>
                <w:szCs w:val="20"/>
                <w:lang w:eastAsia="pt-BR"/>
                <w14:ligatures w14:val="none"/>
              </w:rPr>
              <w:t>AVDs</w:t>
            </w:r>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ponderado (≥0,5), CCI e teste dos postos de sinais de Wilcoxon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obteve CCI=0,937 com diferença não-significativa segundo o teste dos postos de sinais de Wilcoxon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Concordância e associação entre os resultados do BackPEI e LADy</w:t>
            </w:r>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Os hábitos posturais de 58 estudantes foram medidos através do LADy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κ=0,905 ;χ²=47,15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Pivotto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AVDs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Gençbas e Bebis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O questinário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A avaliação ocorreu através do κ e testes dos postos de sinal de Wilcoxon.</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(Wilcoxon)</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Akbari-Chehrehbargh, Tavafian e Montazeri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χ²/gl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χ²/gl=3,51; ICA=0,97; RMSEA=0,091; SRMR=0,078; correlação item-total  satisfatória;</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0,83,  EPM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Miñana-Signes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224 indivíduos com intervalo de 7 dias. A avaliação ocorreu através do ICC (≥0,75), teste dos postos de sinais de Wilcoxon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com κ&lt;0,5 e 4 itens com %C&lt;75%, nenhum inferior em ambos. A intensidade da dor obteve ICC=0,928, sem diferença significativa segundo Wilcoxon.</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do BackPEI-CA</w:t>
            </w:r>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o ICV variou de 0,9 a 1,0. Elaboração da versão final do BackPEI-CA</w:t>
            </w:r>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105 indivíduos com intervalo de 7 dias no formato presencial e virtual. A avaliação ocorreu através do %C (&gt;50%), κ (≥0,4) e CCI(2-way mixed effects absolute agrement)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BackPEI-CA</w:t>
            </w:r>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Gökşen, Kocaman e Yildirim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(Consistência interna - a parte do kappa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235 indivíduos com intervalo de 7 dias. A avaliação ocorreu através do κ (≥0,5), %C, EP, CCI (2-way random effects - absolute agreement),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Wilcoxon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Este estudo foi mantido, mesmo não tendo foco no BackPEI, pois trata-se de uma pesquisa de clinimetria e o BacKPEI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BackPEI-CA.</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1BCEE728"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w:t>
      </w:r>
      <w:r>
        <w:lastRenderedPageBreak/>
        <w:t xml:space="preserve">Entretanto o desenvolvimento dessa versão não é citado por </w:t>
      </w:r>
      <w:r w:rsidRPr="003548B9">
        <w:rPr>
          <w:rFonts w:cs="Arial"/>
          <w:kern w:val="0"/>
        </w:rPr>
        <w:t>Gökşen</w:t>
      </w:r>
      <w:r>
        <w:rPr>
          <w:rFonts w:cs="Arial"/>
          <w:kern w:val="0"/>
        </w:rPr>
        <w:t>,</w:t>
      </w:r>
      <w:r w:rsidRPr="003548B9">
        <w:rPr>
          <w:rFonts w:cs="Arial"/>
          <w:kern w:val="0"/>
        </w:rPr>
        <w:t xml:space="preserve"> Kocaman</w:t>
      </w:r>
      <w:r>
        <w:rPr>
          <w:rFonts w:cs="Arial"/>
          <w:kern w:val="0"/>
        </w:rPr>
        <w:t xml:space="preserve"> e</w:t>
      </w:r>
      <w:r w:rsidRPr="003548B9">
        <w:rPr>
          <w:rFonts w:cs="Arial"/>
          <w:kern w:val="0"/>
        </w:rPr>
        <w:t xml:space="preserve"> Yıldırım</w:t>
      </w:r>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para encontra-lo</w:t>
      </w:r>
      <w:r w:rsidR="006C734C">
        <w:t xml:space="preserve"> mas não obtivemos sucesso</w:t>
      </w:r>
      <w:r>
        <w:t xml:space="preserve">.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BCB74FB"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conteúdo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r w:rsidR="008078BE" w:rsidRPr="008078BE">
        <w:t>Akbari-Chehrehbargh, Tavafian e Montazeri</w:t>
      </w:r>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ao avaliar a confiabilidade, fizeram uma análise transversal através do alfa de Cronbach</w:t>
      </w:r>
      <w:r w:rsidR="006C734C">
        <w:t>,</w:t>
      </w:r>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6C1CBC5E"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rsidR="002D62F0">
        <w:t xml:space="preserve">entre as aplicações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 outras</w:t>
      </w:r>
      <w:r w:rsidR="002D62F0">
        <w:t>,</w:t>
      </w:r>
      <w:r>
        <w:t xml:space="preserve">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kappa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intra-classe (</w:t>
      </w:r>
      <w:r w:rsidR="002D62F0">
        <w:t>ICC</w:t>
      </w:r>
      <w:r w:rsidR="001D60F5">
        <w:t xml:space="preserve">)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(Akbari-Chehrehbargh; Tavafian;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w:t>
      </w:r>
      <w:r w:rsidR="002D62F0">
        <w:t>ICC</w:t>
      </w:r>
      <w:r w:rsidR="007E59BB">
        <w:t xml:space="preserve">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BackPEI-CA</w:t>
      </w:r>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BackPEI-CA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E2CBB36" w:rsidR="00CF043C" w:rsidRPr="00CF043C" w:rsidRDefault="00CF043C" w:rsidP="00CF043C">
      <w:r w:rsidRPr="00CF043C">
        <w:t xml:space="preserve">Os fatores de riscos que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w:t>
      </w:r>
      <w:r w:rsidR="0094544A">
        <w:t>“</w:t>
      </w:r>
      <w:r w:rsidRPr="00CF043C">
        <w:t>comportamental</w:t>
      </w:r>
      <w:r w:rsidR="0094544A">
        <w:t>”</w:t>
      </w:r>
      <w:r w:rsidRPr="00CF043C">
        <w:t xml:space="preserve">,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BackPEI-CA,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aspectos menos relevantes do sistema de medição assim como massa corporal, estatura e profissão.</w:t>
      </w:r>
    </w:p>
    <w:p w14:paraId="712560CC" w14:textId="4ECB7CC7" w:rsidR="00CF043C" w:rsidRPr="00CF043C" w:rsidRDefault="00CF043C" w:rsidP="00CF043C">
      <w:r w:rsidRPr="00CF043C">
        <w:t xml:space="preserve">Nenhum dos artigos apresenta uma caracterização de dor e seus elementos. Quanto à região da dor, a definição </w:t>
      </w:r>
      <w:r w:rsidR="0094544A">
        <w:t>não aparece</w:t>
      </w:r>
      <w:r w:rsidRPr="00CF043C">
        <w:t xml:space="preserve"> nas primeiras versões do estudo até a proposta de incluir uma imagem no questionário, tanto no BackPEI-CA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w:t>
      </w:r>
      <w:r w:rsidR="0094544A">
        <w:t>objetiva</w:t>
      </w:r>
      <w:r w:rsidRPr="00CF043C">
        <w:t xml:space="preserve"> aparece nas perguntas feitas ao painel de especialistas durante a avaliação do BackPEI-CA: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65EB0DF"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xml:space="preserve"> </w:t>
      </w:r>
      <w:r>
        <w:t xml:space="preserve">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LADy. </w:t>
      </w:r>
      <w:r w:rsidR="00BB24E0">
        <w:t>De modo semelhante, Gök</w:t>
      </w:r>
      <w:r w:rsidR="00BB24E0" w:rsidRPr="001C2EA1">
        <w:rPr>
          <w:rFonts w:cs="Arial"/>
          <w:kern w:val="0"/>
        </w:rPr>
        <w:t>ş</w:t>
      </w:r>
      <w:r w:rsidR="00BB24E0">
        <w:rPr>
          <w:rFonts w:cs="Arial"/>
          <w:kern w:val="0"/>
        </w:rPr>
        <w:t xml:space="preserve">en, Kocaman e </w:t>
      </w:r>
      <w:r w:rsidR="00BB24E0" w:rsidRPr="00BB24E0">
        <w:rPr>
          <w:rFonts w:cs="Arial"/>
          <w:kern w:val="0"/>
        </w:rPr>
        <w:t>Yıldırım</w:t>
      </w:r>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Uma forma de verificar a correspondência dos itens de um questionário às dimensões apresentadas na caracterização é através da Análise Fatorial. A aplicação deste método foi relatada na metodologia de Gençba</w:t>
      </w:r>
      <w:r w:rsidRPr="001C2EA1">
        <w:rPr>
          <w:rFonts w:cs="Arial"/>
          <w:kern w:val="0"/>
        </w:rPr>
        <w:t>ş</w:t>
      </w:r>
      <w:r>
        <w:rPr>
          <w:rFonts w:cs="Arial"/>
          <w:kern w:val="0"/>
        </w:rPr>
        <w:t xml:space="preserve"> e Bebi</w:t>
      </w:r>
      <w:r w:rsidRPr="001C2EA1">
        <w:rPr>
          <w:rFonts w:cs="Arial"/>
          <w:kern w:val="0"/>
        </w:rPr>
        <w:t>ş</w:t>
      </w:r>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Cronbach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6" w:name="_Ref197680962"/>
      <w:r>
        <w:t xml:space="preserve">Figura </w:t>
      </w:r>
      <w:r>
        <w:fldChar w:fldCharType="begin"/>
      </w:r>
      <w:r>
        <w:instrText xml:space="preserve"> SEQ Figura \* ARABIC </w:instrText>
      </w:r>
      <w:r>
        <w:fldChar w:fldCharType="separate"/>
      </w:r>
      <w:r w:rsidR="00577186">
        <w:rPr>
          <w:noProof/>
        </w:rPr>
        <w:t>3</w:t>
      </w:r>
      <w:r>
        <w:rPr>
          <w:noProof/>
        </w:rPr>
        <w:fldChar w:fldCharType="end"/>
      </w:r>
      <w:bookmarkEnd w:id="6"/>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LADy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BackPEI-CA</w:t>
      </w:r>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kappa</w:t>
      </w:r>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r w:rsidRPr="00303144">
        <w:t xml:space="preserve">Gençbas </w:t>
      </w:r>
      <w:r w:rsidRPr="00303144">
        <w:lastRenderedPageBreak/>
        <w:t>e Bebis</w:t>
      </w:r>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teste-reteste baseado nessa pontuação e utilizam o teste dos postos de sinais de Wilcoxon</w:t>
      </w:r>
      <w:r w:rsidR="00D85AC7">
        <w:t xml:space="preserve">. </w:t>
      </w:r>
      <w:r w:rsidRPr="00303144">
        <w:t>Gökşen, Kocaman e Yildirim</w:t>
      </w:r>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Spearman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r w:rsidRPr="00531C33">
        <w:t>Gökşen, Kocaman e Yildirim</w:t>
      </w:r>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Pivotto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auto-aplicável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A opção por esta forma de instrumento se deu por este ser barato, de fácil aplicação e por permitir o auto-relato.</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7" w:name="_Ref197766710"/>
      <w:r>
        <w:t xml:space="preserve">Figura </w:t>
      </w:r>
      <w:r>
        <w:fldChar w:fldCharType="begin"/>
      </w:r>
      <w:r>
        <w:instrText xml:space="preserve"> SEQ Figura \* ARABIC </w:instrText>
      </w:r>
      <w:r>
        <w:fldChar w:fldCharType="separate"/>
      </w:r>
      <w:r w:rsidR="00577186">
        <w:rPr>
          <w:noProof/>
        </w:rPr>
        <w:t>4</w:t>
      </w:r>
      <w:r>
        <w:rPr>
          <w:noProof/>
        </w:rPr>
        <w:fldChar w:fldCharType="end"/>
      </w:r>
      <w:bookmarkEnd w:id="7"/>
      <w:r>
        <w:t xml:space="preserve"> - Escala Visual Analógica da intensidade da dor</w:t>
      </w:r>
    </w:p>
    <w:p w14:paraId="52F46296" w14:textId="77777777" w:rsidR="00E26838" w:rsidRDefault="00E26838" w:rsidP="002C6992"/>
    <w:p w14:paraId="713C37E9" w14:textId="0476FE5F"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BackPEI-CA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3"/>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4"/>
                          <a:stretch>
                            <a:fillRect/>
                          </a:stretch>
                        </pic:blipFill>
                        <pic:spPr>
                          <a:xfrm>
                            <a:off x="0" y="2305958"/>
                            <a:ext cx="7116168" cy="1924319"/>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8" w:name="_Ref197768161"/>
      <w:r>
        <w:t xml:space="preserve">Figura </w:t>
      </w:r>
      <w:r>
        <w:fldChar w:fldCharType="begin"/>
      </w:r>
      <w:r>
        <w:instrText xml:space="preserve"> SEQ Figura \* ARABIC </w:instrText>
      </w:r>
      <w:r>
        <w:fldChar w:fldCharType="separate"/>
      </w:r>
      <w:r w:rsidR="00577186">
        <w:rPr>
          <w:noProof/>
        </w:rPr>
        <w:t>5</w:t>
      </w:r>
      <w:r>
        <w:rPr>
          <w:noProof/>
        </w:rPr>
        <w:fldChar w:fldCharType="end"/>
      </w:r>
      <w:bookmarkEnd w:id="8"/>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auto-aplicável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9"/>
      <w:r>
        <w:t>AVD</w:t>
      </w:r>
      <w:r w:rsidR="00EE6DE6">
        <w:t>s</w:t>
      </w:r>
      <w:r>
        <w:t xml:space="preserve"> </w:t>
      </w:r>
      <w:commentRangeEnd w:id="9"/>
      <w:r w:rsidR="00CF043C">
        <w:rPr>
          <w:rStyle w:val="Refdecomentrio"/>
        </w:rPr>
        <w:commentReference w:id="9"/>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Na última versão do BackPEI-CA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5"/>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6"/>
                          <a:stretch>
                            <a:fillRect/>
                          </a:stretch>
                        </pic:blipFill>
                        <pic:spPr>
                          <a:xfrm>
                            <a:off x="1486107" y="0"/>
                            <a:ext cx="1467055" cy="2486372"/>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0" w:name="_Ref197785888"/>
      <w:bookmarkStart w:id="11" w:name="_Ref197785880"/>
      <w:r>
        <w:t xml:space="preserve">Figura </w:t>
      </w:r>
      <w:r>
        <w:fldChar w:fldCharType="begin"/>
      </w:r>
      <w:r>
        <w:instrText xml:space="preserve"> SEQ Figura \* ARABIC </w:instrText>
      </w:r>
      <w:r>
        <w:fldChar w:fldCharType="separate"/>
      </w:r>
      <w:r>
        <w:rPr>
          <w:noProof/>
        </w:rPr>
        <w:t>6</w:t>
      </w:r>
      <w:r>
        <w:rPr>
          <w:noProof/>
        </w:rPr>
        <w:fldChar w:fldCharType="end"/>
      </w:r>
      <w:bookmarkEnd w:id="10"/>
      <w:r>
        <w:t xml:space="preserve"> - D</w:t>
      </w:r>
      <w:r w:rsidRPr="00666E71">
        <w:t>esign gráfico para apoio aos itens relativos à dor</w:t>
      </w:r>
      <w:bookmarkEnd w:id="11"/>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BackPEI-CA,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w:t>
      </w:r>
      <w:commentRangeStart w:id="12"/>
      <w:r w:rsidRPr="00320814">
        <w:t xml:space="preserve">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Apgar.</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commentRangeEnd w:id="12"/>
      <w:r w:rsidR="005008FD">
        <w:rPr>
          <w:rStyle w:val="Refdecomentrio"/>
        </w:rPr>
        <w:commentReference w:id="12"/>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w:t>
      </w:r>
      <w:commentRangeStart w:id="13"/>
      <w:r w:rsidRPr="00320814">
        <w:t xml:space="preserve">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commentRangeEnd w:id="13"/>
      <w:r w:rsidR="00A54D77">
        <w:rPr>
          <w:rStyle w:val="Refdecomentrio"/>
        </w:rPr>
        <w:commentReference w:id="13"/>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o sistema LADy</w:t>
      </w:r>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w:t>
      </w:r>
      <w:r w:rsidRPr="00320814">
        <w:lastRenderedPageBreak/>
        <w:t xml:space="preserve">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a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O mesmo método, ou seus elementos, pode ser aplicado para finalidades distintas. O índice de kappa,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Contudo, essa mesma análise estatística também foi empregada na avaliação da caracterização dos hábitos posturais por meio da concordância com o sistema LADy</w:t>
      </w:r>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Outro exemplo é a validade de conteúdo, cuja relação com os procedimentos foi mais evidente nas pesquisas clinimétricas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w:t>
      </w:r>
      <w:r w:rsidRPr="00320814">
        <w:lastRenderedPageBreak/>
        <w:t>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clinimétricas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Caso os resultados entre os dois sistemas sejam semelhantes, pode-se inferir que ambos medem o mesmo fenômeno. Essa estratégia foi empregada na análise da concordância do BackPEI com o sistema LADy</w:t>
      </w:r>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dado que o LADy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Em determinados casos, a comparação com um padrão-ouro não é viável, especialmente para sistemas de medição baseados no auto-relato,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auto-relato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Outra alternativa metodológica é a validade estrutural, utilizada por Akbari-Chehrehbargh, Tavafian e Montazeri</w:t>
      </w:r>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Outra abordagem para a avaliação científica da caracterização envolve a associação com conceitos distintos do que é medido pelo sistema de medição. Essa estratégia foi utilizada por Gökşen, Kocaman e Yildirim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Outro exemplo relevante é a avaliação dos itens de um instrumento por meio do alfa de Cronbach.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Cronbach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w:t>
      </w:r>
      <w:commentRangeStart w:id="14"/>
      <w:commentRangeStart w:id="15"/>
      <w:r w:rsidRPr="0074233B">
        <w:t>medição nômica</w:t>
      </w:r>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commentRangeEnd w:id="14"/>
      <w:r w:rsidR="00420208">
        <w:rPr>
          <w:rStyle w:val="Refdecomentrio"/>
        </w:rPr>
        <w:commentReference w:id="14"/>
      </w:r>
      <w:commentRangeEnd w:id="15"/>
      <w:r w:rsidR="00EC6095">
        <w:rPr>
          <w:rStyle w:val="Refdecomentrio"/>
        </w:rPr>
        <w:commentReference w:id="15"/>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6"/>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sido adequados para as pesquisas sendo conduzidas.</w:t>
      </w:r>
      <w:commentRangeEnd w:id="16"/>
      <w:r w:rsidR="006F0257">
        <w:rPr>
          <w:rStyle w:val="Refdecomentrio"/>
        </w:rPr>
        <w:commentReference w:id="16"/>
      </w:r>
    </w:p>
    <w:p w14:paraId="14909037" w14:textId="402ED104" w:rsidR="00040147" w:rsidRDefault="00040147" w:rsidP="00040147">
      <w:pPr>
        <w:pStyle w:val="Ttulo1"/>
      </w:pPr>
      <w:r>
        <w:t>CONCLUSÃO</w:t>
      </w:r>
    </w:p>
    <w:p w14:paraId="4F5ADA74" w14:textId="77777777" w:rsidR="0083593E" w:rsidRDefault="00FB39F7" w:rsidP="00FB39F7">
      <w:r>
        <w:t>A partir dessa revisão identificou-se que há uma preocupação maior das pesquisas clinimétricas do BackPEI com os procedimentos e que há uma grande importância da avaliação científica de todos os elementos da estrutura epistemológica, havendo ainda uma lacuna sobre como avaliar a representação.</w:t>
      </w:r>
    </w:p>
    <w:p w14:paraId="79AFC26C" w14:textId="47E0370F" w:rsidR="0083593E" w:rsidRDefault="000750E1" w:rsidP="00FB39F7">
      <w:bookmarkStart w:id="17" w:name="_Hlk198169894"/>
      <w:r>
        <w:t>Como sugestões para</w:t>
      </w:r>
      <w:r w:rsidR="006B64DF">
        <w:t xml:space="preserve"> futuras pesquisas na clinimetria: </w:t>
      </w:r>
      <w:r w:rsidR="006B64DF" w:rsidRPr="0083593E">
        <w:t>apresentação de definições claras e referências para as metodologias empregadas</w:t>
      </w:r>
      <w:r w:rsidR="006B64DF">
        <w:t>;</w:t>
      </w:r>
      <w:r w:rsidR="006B64DF" w:rsidRPr="0083593E">
        <w:t xml:space="preserve"> avaliar a caracterização através da validade de conteúdo</w:t>
      </w:r>
      <w:r w:rsidR="00D429B3">
        <w:t>,</w:t>
      </w:r>
      <w:r w:rsidR="006B64DF" w:rsidRPr="0083593E">
        <w:t xml:space="preserve"> questionando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criar suposições sobre características da representação e testá-las a partir dos dados coletados e avaliar o efeito piso e teto.</w:t>
      </w:r>
    </w:p>
    <w:bookmarkEnd w:id="17"/>
    <w:p w14:paraId="54901411" w14:textId="41433C1A" w:rsidR="00FB39F7" w:rsidRDefault="00FB39F7" w:rsidP="00FB39F7">
      <w:r>
        <w:t xml:space="preserve"> Pesquisas futuras podem ser realizadas a partir da mesma metodologia empregada nessa revisão, porém com sistemas de medição diferentes avaliando se as pesquisas clinimétricas</w:t>
      </w:r>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2" w:author="Lucas Beraldo" w:date="2025-05-16T16:40:00Z" w:initials="LB">
    <w:p w14:paraId="703C34DC" w14:textId="4C839104" w:rsidR="005008FD" w:rsidRDefault="005008FD">
      <w:pPr>
        <w:pStyle w:val="Textodecomentrio"/>
      </w:pPr>
      <w:r>
        <w:rPr>
          <w:rStyle w:val="Refdecomentrio"/>
        </w:rPr>
        <w:annotationRef/>
      </w:r>
      <w:r>
        <w:t>Coloquei 2 exemplos de cada um pra ficar bonitinho. Nesse caso aqui os textos da referência apresentam as formas da caracterização e eu que trouxe os exemplos, o IMC é o único que veio do texto. Eu coloquei as referências no final do parágrafo, acha que dá pra entender que veio tudo de lá?</w:t>
      </w:r>
    </w:p>
  </w:comment>
  <w:comment w:id="13" w:author="Lucas Beraldo" w:date="2025-05-16T16:44:00Z" w:initials="LB">
    <w:p w14:paraId="630673E9" w14:textId="77777777" w:rsidR="00A54D77" w:rsidRDefault="00A54D77">
      <w:pPr>
        <w:pStyle w:val="Textodecomentrio"/>
      </w:pPr>
      <w:r>
        <w:rPr>
          <w:rStyle w:val="Refdecomentrio"/>
        </w:rPr>
        <w:annotationRef/>
      </w:r>
      <w:r>
        <w:t>Reescrevi. Acha que ficou claro?</w:t>
      </w:r>
    </w:p>
    <w:p w14:paraId="2696D84F" w14:textId="11FB58FF" w:rsidR="00A54D77" w:rsidRDefault="00A54D77">
      <w:pPr>
        <w:pStyle w:val="Textodecomentrio"/>
      </w:pPr>
    </w:p>
  </w:comment>
  <w:comment w:id="14" w:author="Cláudia Candotti" w:date="2025-05-15T11:13:00Z" w:initials="CC">
    <w:p w14:paraId="46A0460F" w14:textId="0B6FE5FD" w:rsidR="00EE6DE6" w:rsidRDefault="00420208" w:rsidP="00EE6DE6">
      <w:pPr>
        <w:pStyle w:val="Textodecomentrio"/>
        <w:ind w:firstLine="0"/>
        <w:jc w:val="left"/>
      </w:pPr>
      <w:r>
        <w:rPr>
          <w:rStyle w:val="Refdecomentrio"/>
        </w:rPr>
        <w:annotationRef/>
      </w:r>
      <w:r w:rsidR="00EE6DE6">
        <w:rPr>
          <w:highlight w:val="yellow"/>
        </w:rPr>
        <w:t xml:space="preserve">O que é isso? Coloca uma breve definição: </w:t>
      </w:r>
      <w:r w:rsidR="00EE6DE6">
        <w:rPr>
          <w:color w:val="001D35"/>
          <w:highlight w:val="yellow"/>
        </w:rPr>
        <w:t>medição que usa nomes ou categorias para identificar e distinguir entre diferentes itens. </w:t>
      </w:r>
      <w:r w:rsidR="00EE6DE6">
        <w:rPr>
          <w:highlight w:val="yellow"/>
        </w:rPr>
        <w:t xml:space="preserve"> </w:t>
      </w:r>
    </w:p>
  </w:comment>
  <w:comment w:id="15" w:author="Lucas Beraldo" w:date="2025-05-16T16:52:00Z" w:initials="LB">
    <w:p w14:paraId="03DF15B5" w14:textId="4D573733" w:rsidR="00EC6095" w:rsidRDefault="00EC6095">
      <w:pPr>
        <w:pStyle w:val="Textodecomentrio"/>
      </w:pPr>
      <w:r>
        <w:rPr>
          <w:rStyle w:val="Refdecomentrio"/>
        </w:rPr>
        <w:annotationRef/>
      </w:r>
      <w:r>
        <w:t>Feito</w:t>
      </w:r>
    </w:p>
  </w:comment>
  <w:comment w:id="16"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38D7F" w15:done="0"/>
  <w15:commentEx w15:paraId="703C34DC" w15:done="0"/>
  <w15:commentEx w15:paraId="2696D84F" w15:done="0"/>
  <w15:commentEx w15:paraId="46A0460F" w15:done="0"/>
  <w15:commentEx w15:paraId="03DF15B5" w15:paraIdParent="46A0460F"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0389C" w16cex:dateUtc="2025-05-11T23:10:00Z"/>
  <w16cex:commentExtensible w16cex:durableId="2B19F199" w16cex:dateUtc="2025-05-16T19:40:00Z"/>
  <w16cex:commentExtensible w16cex:durableId="10A65C0F" w16cex:dateUtc="2025-05-16T19:44:00Z"/>
  <w16cex:commentExtensible w16cex:durableId="0FE89526" w16cex:dateUtc="2025-05-15T14:13:00Z"/>
  <w16cex:commentExtensible w16cex:durableId="4C6EBFF2" w16cex:dateUtc="2025-05-16T19:52: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38D7F" w16cid:durableId="3A00389C"/>
  <w16cid:commentId w16cid:paraId="703C34DC" w16cid:durableId="2B19F199"/>
  <w16cid:commentId w16cid:paraId="2696D84F" w16cid:durableId="10A65C0F"/>
  <w16cid:commentId w16cid:paraId="46A0460F" w16cid:durableId="0FE89526"/>
  <w16cid:commentId w16cid:paraId="03DF15B5" w16cid:durableId="4C6EBFF2"/>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92E32" w14:textId="77777777" w:rsidR="00FD608E" w:rsidRDefault="00FD608E" w:rsidP="009850FC">
      <w:pPr>
        <w:spacing w:line="240" w:lineRule="auto"/>
      </w:pPr>
      <w:r>
        <w:separator/>
      </w:r>
    </w:p>
  </w:endnote>
  <w:endnote w:type="continuationSeparator" w:id="0">
    <w:p w14:paraId="6EE63DBD" w14:textId="77777777" w:rsidR="00FD608E" w:rsidRDefault="00FD608E"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519AF" w14:textId="77777777" w:rsidR="00FD608E" w:rsidRDefault="00FD608E" w:rsidP="009850FC">
      <w:pPr>
        <w:spacing w:line="240" w:lineRule="auto"/>
      </w:pPr>
      <w:r>
        <w:separator/>
      </w:r>
    </w:p>
  </w:footnote>
  <w:footnote w:type="continuationSeparator" w:id="0">
    <w:p w14:paraId="1FB62FF4" w14:textId="77777777" w:rsidR="00FD608E" w:rsidRDefault="00FD608E"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rson w15:author="Cláudia Candotti">
    <w15:presenceInfo w15:providerId="None" w15:userId="Cláudia Candot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750E1"/>
    <w:rsid w:val="00081B10"/>
    <w:rsid w:val="00083C3A"/>
    <w:rsid w:val="00084270"/>
    <w:rsid w:val="000977D2"/>
    <w:rsid w:val="000A02BA"/>
    <w:rsid w:val="000A0591"/>
    <w:rsid w:val="000A23EF"/>
    <w:rsid w:val="000A3994"/>
    <w:rsid w:val="000A5DF3"/>
    <w:rsid w:val="000A6761"/>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24477"/>
    <w:rsid w:val="002359F8"/>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D62F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387D"/>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1EBB"/>
    <w:rsid w:val="004F63EC"/>
    <w:rsid w:val="005008FD"/>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531"/>
    <w:rsid w:val="00650D4D"/>
    <w:rsid w:val="006621C5"/>
    <w:rsid w:val="00663D31"/>
    <w:rsid w:val="00667A77"/>
    <w:rsid w:val="00685C2E"/>
    <w:rsid w:val="00694D91"/>
    <w:rsid w:val="006B131E"/>
    <w:rsid w:val="006B64DF"/>
    <w:rsid w:val="006B650E"/>
    <w:rsid w:val="006C0F5D"/>
    <w:rsid w:val="006C5DBE"/>
    <w:rsid w:val="006C734C"/>
    <w:rsid w:val="006F0257"/>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7715E"/>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37A50"/>
    <w:rsid w:val="009401AC"/>
    <w:rsid w:val="0094053D"/>
    <w:rsid w:val="0094544A"/>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8080A"/>
    <w:rsid w:val="00B95416"/>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4F18"/>
    <w:rsid w:val="00EE63F2"/>
    <w:rsid w:val="00EE6DE6"/>
    <w:rsid w:val="00EF4D59"/>
    <w:rsid w:val="00F060AB"/>
    <w:rsid w:val="00F071D2"/>
    <w:rsid w:val="00F10DF7"/>
    <w:rsid w:val="00F1153E"/>
    <w:rsid w:val="00F13170"/>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D608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hyperlink" Target="https://github.com/lucasmberaldo/10-anos-de-back-pei" TargetMode="External"/><Relationship Id="rId12"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microsoft.com/office/2018/08/relationships/commentsExtensible" Target="commentsExtensible.xml"/><Relationship Id="rId5"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3733</TotalTime>
  <Pages>39</Pages>
  <Words>91727</Words>
  <Characters>495327</Characters>
  <Application>Microsoft Office Word</Application>
  <DocSecurity>0</DocSecurity>
  <Lines>4127</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161</cp:revision>
  <dcterms:created xsi:type="dcterms:W3CDTF">2025-03-12T15:42:00Z</dcterms:created>
  <dcterms:modified xsi:type="dcterms:W3CDTF">2025-05-24T14:40:00Z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