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3D6128">
      <w:pPr>
        <w:pStyle w:val="Citao"/>
      </w:pPr>
      <w:commentRangeStart w:id="2"/>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Pr>
        <w:commentReference w:id="2"/>
      </w:r>
    </w:p>
    <w:p w14:paraId="2C69331E" w14:textId="6226D03C"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o desenvolvimento e avaliação do Back Pain and Body Posture Assessment Intrument (BackPEI). Este sistema de medição</w:t>
      </w:r>
      <w:r w:rsidR="00387624">
        <w:t xml:space="preserve"> foi desenvolvido em 2013 e</w:t>
      </w:r>
      <w:r>
        <w:t xml:space="preserve"> é adequado </w:t>
      </w:r>
      <w:r w:rsidR="00323BC4">
        <w:t>à</w:t>
      </w:r>
      <w:r>
        <w:t xml:space="preserve"> </w:t>
      </w:r>
      <w:r>
        <w:lastRenderedPageBreak/>
        <w:t xml:space="preserve">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w:t>
      </w:r>
      <w:r w:rsidR="00E50A79">
        <w:lastRenderedPageBreak/>
        <w:t>desenvolvimento ou avaliação do sistema de medição. Realizamos então uma ampla busca dos estudos que realizavam citações a estas pesquisas clinimétricas utilizando 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 xml:space="preserve">Para a extração dos dados das fontes foi confeccionada uma planilha utilizando o Microsoft Excel sendo identificados os autores, o ano, o objetivo do estudo, cada </w:t>
      </w:r>
      <w:r>
        <w:lastRenderedPageBreak/>
        <w:t>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r>
        <w:t xml:space="preserve">Além disso, a partir da estrutura proposta por Cartwright e coloboradoras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(Bradburn;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Este não é um aspecto presente na estrutura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5"/>
      <w:r w:rsidRPr="00685C2E">
        <w:rPr>
          <w:b/>
          <w:bCs/>
        </w:rPr>
        <w:t>figura x</w:t>
      </w:r>
      <w:commentRangeEnd w:id="5"/>
      <w:r w:rsidR="003434DC">
        <w:rPr>
          <w:rStyle w:val="Refdecomentrio"/>
        </w:rPr>
        <w:commentReference w:id="5"/>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6"/>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6"/>
      <w:r w:rsidR="003434DC">
        <w:rPr>
          <w:rStyle w:val="Refdecomentrio"/>
        </w:rPr>
        <w:commentReference w:id="6"/>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4055C0A0" w:rsidR="00A43DDD" w:rsidRDefault="00A43DDD" w:rsidP="00685C2E">
      <w:r>
        <w:t xml:space="preserve">Foram identificadas </w:t>
      </w:r>
      <w:r w:rsidR="003434DC">
        <w:t>oito</w:t>
      </w:r>
      <w:r>
        <w:t xml:space="preserve"> diferentes versões do BackPEI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7"/>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7"/>
      <w:r>
        <w:rPr>
          <w:rStyle w:val="Refdecomentrio"/>
        </w:rPr>
        <w:commentReference w:id="7"/>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BackPEI orginal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w:t>
      </w:r>
      <w:r w:rsidR="00220253">
        <w:lastRenderedPageBreak/>
        <w:t xml:space="preserve">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8"/>
      <w:commentRangeStart w:id="9"/>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8"/>
      <w:commentRangeEnd w:id="9"/>
      <w:r w:rsidR="007118B6">
        <w:rPr>
          <w:rStyle w:val="Refdecomentrio"/>
        </w:rPr>
        <w:commentReference w:id="8"/>
      </w:r>
      <w:r>
        <w:rPr>
          <w:rStyle w:val="Refdecomentrio"/>
        </w:rPr>
        <w:commentReference w:id="9"/>
      </w:r>
    </w:p>
    <w:p w14:paraId="79434721" w14:textId="3E38098D" w:rsidR="001F46F0" w:rsidRDefault="001F46F0" w:rsidP="001F46F0">
      <w:pPr>
        <w:pStyle w:val="Ttulo2"/>
      </w:pPr>
      <w:r w:rsidRPr="001F46F0">
        <w:t>Caracterização</w:t>
      </w:r>
    </w:p>
    <w:p w14:paraId="20D7261E" w14:textId="2AEF0DCB"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 BackPEI-A</w:t>
      </w:r>
      <w:r w:rsidR="005D3AF7">
        <w:t xml:space="preserve"> e</w:t>
      </w:r>
      <w:r>
        <w:t xml:space="preserve"> BackPEI-CA </w:t>
      </w:r>
      <w:r w:rsidR="005D3AF7">
        <w:t xml:space="preserve">avaliam a dor nas costas e a dor no pescoço. </w:t>
      </w:r>
    </w:p>
    <w:p w14:paraId="016AE3FF" w14:textId="492C5A51" w:rsidR="00A218FB" w:rsidRDefault="005D3AF7" w:rsidP="00A218FB">
      <w:r>
        <w:t xml:space="preserve">A região “das costas” é corresponde </w:t>
      </w:r>
      <w:r w:rsidR="002C23D5">
        <w:t>a qualquer região</w:t>
      </w:r>
      <w:r>
        <w:t xml:space="preserve"> torácica</w:t>
      </w:r>
      <w:r w:rsidR="002C23D5">
        <w:t xml:space="preserve"> e lombar</w:t>
      </w:r>
      <w:r>
        <w:t xml:space="preserve"> e a região “do pescoço” corresponde à coluna cervical. Os artigos citam que a dor é medida a partir de três elementos: a presença, a frequência e a intensidade da dor </w:t>
      </w:r>
      <w:r w:rsidR="00822559">
        <w:lastRenderedPageBreak/>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 a incapacidade devido à dor também é medida,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no BackPEI-A,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47C2A9BF" w:rsidR="00A218FB" w:rsidRDefault="005D3AF7" w:rsidP="006C5DBE">
      <w:r>
        <w:t xml:space="preserve">Os fatores </w:t>
      </w:r>
      <w:r w:rsidR="002A1CF5">
        <w:t xml:space="preserve">de riscos quem compõe </w:t>
      </w:r>
      <w:r w:rsidR="00A91893">
        <w:t xml:space="preserve">todas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w:t>
      </w:r>
      <w:r w:rsidR="00A91893">
        <w:t>usando dispositivos móveis,</w:t>
      </w:r>
      <w:r w:rsidR="00A91893">
        <w:t xml:space="preserve"> a</w:t>
      </w:r>
      <w:r w:rsidR="00A91893">
        <w:t xml:space="preserve"> postura ao utilizar dispositivos móveis sentado</w:t>
      </w:r>
      <w:r w:rsidR="00A91893">
        <w:t xml:space="preserve"> e a</w:t>
      </w:r>
      <w:r w:rsidR="00A91893">
        <w:t xml:space="preserve"> postura ao utilizar dispositivos móveis em pé</w:t>
      </w:r>
      <w:r w:rsidR="00A91893">
        <w:t xml:space="preserve">, tanto no BackPEI destinado a adultos quanto a crianças e adolescentes em idade escolar. </w:t>
      </w:r>
      <w:commentRangeStart w:id="10"/>
      <w:r w:rsidR="00A91893">
        <w:t>Para os adultos também é apontado o envolvimento em acidentes de carro como um fato de risco</w:t>
      </w:r>
      <w:commentRangeEnd w:id="10"/>
      <w:r w:rsidR="00A91893">
        <w:rPr>
          <w:rStyle w:val="Refdecomentrio"/>
        </w:rPr>
        <w:commentReference w:id="10"/>
      </w:r>
      <w:r w:rsidR="00A91893">
        <w:t xml:space="preserve">. Todos estes fatores são agrupados em um domínio denominado comportamentais e as vezes dividido entre hábitos de vida e hábitos posturais. </w:t>
      </w:r>
    </w:p>
    <w:p w14:paraId="53ECD7E1" w14:textId="58819B8A" w:rsidR="00A91893" w:rsidRDefault="00A91893" w:rsidP="006C5DBE">
      <w:r>
        <w:t>Além dos fatores comportamentais</w:t>
      </w:r>
      <w:r w:rsidR="00C71E93">
        <w:t>, para crianças e adolescentes</w:t>
      </w:r>
      <w:r>
        <w:t xml:space="preserve"> o BackPEI também considera </w:t>
      </w:r>
      <w:r w:rsidR="00C71E93">
        <w:t>um fator de risco hereditário, a presença de dor nos pais, e</w:t>
      </w:r>
      <w:r w:rsidR="00C71E93" w:rsidRPr="00C71E93">
        <w:t xml:space="preserve"> </w:t>
      </w:r>
      <w:r w:rsidR="00C71E93">
        <w:t>os</w:t>
      </w:r>
      <w:r w:rsidR="00C71E93">
        <w:t xml:space="preserve"> fator</w:t>
      </w:r>
      <w:r w:rsidR="00C71E93">
        <w:t>es</w:t>
      </w:r>
      <w:r w:rsidR="00C71E93">
        <w:t xml:space="preserve"> de risco socioeconômico escolaridade do pai e</w:t>
      </w:r>
      <w:r w:rsidR="00C71E93">
        <w:t xml:space="preserve"> escolaridade</w:t>
      </w:r>
      <w:r w:rsidR="00C71E93">
        <w:t xml:space="preserve"> da mãe</w:t>
      </w:r>
      <w:r w:rsidR="00C71E93">
        <w:t xml:space="preserve">. Os </w:t>
      </w:r>
      <w:r w:rsidR="00C71E93">
        <w:lastRenderedPageBreak/>
        <w:t>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Parem, portanto, serem aspectos menos relevantes do sistema de medição como massa, estatura e profissão.</w:t>
      </w:r>
    </w:p>
    <w:p w14:paraId="6CE12F4E" w14:textId="08E5F8AD"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como o que os indivíduos</w:t>
      </w:r>
      <w:r w:rsidR="001D01C7">
        <w:t xml:space="preserve"> </w:t>
      </w:r>
      <w:r w:rsidR="001D01C7">
        <w:t>compreendem</w:t>
      </w:r>
      <w:r>
        <w:t xml:space="preserve"> </w:t>
      </w:r>
      <w:r w:rsidR="001D01C7">
        <w:t>ao</w:t>
      </w:r>
      <w:r>
        <w:t xml:space="preserve"> responde</w:t>
      </w:r>
      <w:r w:rsidR="001D01C7">
        <w:t>re</w:t>
      </w:r>
      <w:r>
        <w:t>m o questionário.</w:t>
      </w:r>
      <w:r w:rsidR="009D441C">
        <w:t xml:space="preserve"> </w:t>
      </w:r>
      <w:r w:rsidR="001D01C7">
        <w:t xml:space="preserve">Quanto a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BackPEI-A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 w:val="0"/>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 w:val="0"/>
          <w:iCs w:val="0"/>
          <w:kern w:val="0"/>
        </w:rPr>
        <w:t>et al.</w:t>
      </w:r>
      <w:r w:rsidR="001C2EA1" w:rsidRPr="001C2EA1">
        <w:rPr>
          <w:rFonts w:cs="Arial"/>
          <w:kern w:val="0"/>
        </w:rPr>
        <w:t>, 2022, p. 7)</w:t>
      </w:r>
      <w:r>
        <w:fldChar w:fldCharType="end"/>
      </w:r>
    </w:p>
    <w:p w14:paraId="0CF58C79" w14:textId="361E8623"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considerado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166EFD6" w:rsidR="001C2EA1" w:rsidRPr="003D6128" w:rsidRDefault="001C2EA1" w:rsidP="003D6128">
      <w:r>
        <w:t xml:space="preserve">Uma outra forma de definir o conceito é a partir da sua avaliação científica o que é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lastRenderedPageBreak/>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LADy. </w:t>
      </w:r>
      <w:r w:rsidR="00BB24E0">
        <w:t>De modo semelhante, Gök</w:t>
      </w:r>
      <w:r w:rsidR="00BB24E0" w:rsidRPr="001C2EA1">
        <w:rPr>
          <w:rFonts w:cs="Arial"/>
          <w:kern w:val="0"/>
        </w:rPr>
        <w:t>ş</w:t>
      </w:r>
      <w:r w:rsidR="00BB24E0">
        <w:rPr>
          <w:rFonts w:cs="Arial"/>
          <w:kern w:val="0"/>
        </w:rPr>
        <w:t xml:space="preserve">en, Kocaman e </w:t>
      </w:r>
      <w:r w:rsidR="00BB24E0" w:rsidRPr="00BB24E0">
        <w:rPr>
          <w:rFonts w:cs="Arial"/>
          <w:kern w:val="0"/>
        </w:rPr>
        <w:t>Yıldırım</w:t>
      </w:r>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0F10F278" w:rsidR="002B5678" w:rsidRDefault="002B5678" w:rsidP="002B5678">
      <w:pPr>
        <w:rPr>
          <w:rFonts w:cs="Arial"/>
          <w:kern w:val="0"/>
        </w:rPr>
      </w:pPr>
      <w:r>
        <w:t>Uma forma de verificar a correspondência dos itens de um questionário às dimensões apresentadas na caracterização é através da Análise Fatorial. A aplicação deste método foi relatada na metodologia de Gençba</w:t>
      </w:r>
      <w:r w:rsidRPr="001C2EA1">
        <w:rPr>
          <w:rFonts w:cs="Arial"/>
          <w:kern w:val="0"/>
        </w:rPr>
        <w:t>ş</w:t>
      </w:r>
      <w:r>
        <w:rPr>
          <w:rFonts w:cs="Arial"/>
          <w:kern w:val="0"/>
        </w:rPr>
        <w:t xml:space="preserve"> e Bebi</w:t>
      </w:r>
      <w:r w:rsidRPr="001C2EA1">
        <w:rPr>
          <w:rFonts w:cs="Arial"/>
          <w:kern w:val="0"/>
        </w:rPr>
        <w:t>ş</w:t>
      </w:r>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e possui 5 dimensões, definidas a partir da caracterização: habilidades, autoeficácia, conhecimento, crenças de expectativa e comportamento. Após uma análise fatorial confirmatória é apontada a partir de medidas estatísticas como o CFI, AVE e alfa de Cronbach que cada grupo de itens corresponde a uma das dimensões, e apenas a ela, conforme previsto através do conceito.</w:t>
      </w:r>
    </w:p>
    <w:p w14:paraId="718C5D06" w14:textId="77777777" w:rsidR="000A3994" w:rsidRDefault="00AF673C" w:rsidP="00823908">
      <w:r>
        <w:t>As mudanças mais notáveis n</w:t>
      </w:r>
      <w:r w:rsidR="00D46684">
        <w:t xml:space="preserve">a caracterização </w:t>
      </w:r>
      <w:r>
        <w:t>ao longo dos 10 anos de BackPEI foram a inclusão da dor no pescoço dentro do</w:t>
      </w:r>
      <w:r w:rsidR="00D46684">
        <w:t>s</w:t>
      </w:r>
      <w:r>
        <w:t xml:space="preserve"> </w:t>
      </w:r>
      <w:r w:rsidR="00D46684">
        <w:t>conceitos medidos</w:t>
      </w:r>
      <w:r>
        <w:t xml:space="preserve"> </w:t>
      </w:r>
      <w:r w:rsidR="00D46684">
        <w:t xml:space="preserve">pelo sistema de medição </w:t>
      </w:r>
      <w:r>
        <w:t xml:space="preserve">e seus fatores de risco relacionados, especialmente os relacionados ao uso de dispositivos móveis. </w:t>
      </w:r>
      <w:r w:rsidR="00D46684">
        <w:t xml:space="preserve">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cama, passaram a ser mais presentes 10 anos depois. Assim, uma mudança cultural decorrente do avanço tecnológico determina um novo fator de </w:t>
      </w:r>
      <w:r w:rsidR="00D46684">
        <w:lastRenderedPageBreak/>
        <w:t xml:space="preserve">risco que não merecia atenção anteriormente o que reflete em alterações de itens do questionário e inserção de novas questões. </w:t>
      </w:r>
    </w:p>
    <w:p w14:paraId="672B53F1" w14:textId="1C011B98"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mais relevante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r>
        <w:t>Representação</w:t>
      </w:r>
    </w:p>
    <w:p w14:paraId="72CBC648" w14:textId="0B2EA101" w:rsidR="001F46F0" w:rsidRDefault="001F46F0" w:rsidP="00A60887">
      <w:pPr>
        <w:pStyle w:val="Ttulo3"/>
      </w:pPr>
      <w:r>
        <w:t>Qual é o resultado da medição do BackPEI?</w:t>
      </w:r>
    </w:p>
    <w:p w14:paraId="24DC8439" w14:textId="1DCCB36F" w:rsidR="000A6761" w:rsidRDefault="000A6761" w:rsidP="001F46F0">
      <w:r>
        <w:t>Se existem 21 representações, existem 21 caracterizações. As autoras propositadamente pretendem que a intensidade da dor seja intervalar.</w:t>
      </w:r>
    </w:p>
    <w:p w14:paraId="298A5329" w14:textId="3674DBAA" w:rsidR="001F46F0" w:rsidRDefault="001F46F0" w:rsidP="00A60887">
      <w:pPr>
        <w:pStyle w:val="Ttulo3"/>
      </w:pPr>
      <w:r>
        <w:t>Qual o tipo da medição do BackPEI</w:t>
      </w:r>
      <w:r w:rsidR="009612E7">
        <w:t xml:space="preserve"> (atentar para os procedimentos estatísticos)</w:t>
      </w:r>
      <w:r>
        <w:t>?</w:t>
      </w:r>
    </w:p>
    <w:p w14:paraId="7229016D" w14:textId="3A3A6B72" w:rsidR="001F46F0" w:rsidRDefault="001F46F0" w:rsidP="00A60887">
      <w:pPr>
        <w:pStyle w:val="Ttulo3"/>
      </w:pPr>
      <w:r>
        <w:t>Como a representação é avaliada?</w:t>
      </w:r>
    </w:p>
    <w:p w14:paraId="6A064A68" w14:textId="30FAC9CA" w:rsidR="001F46F0" w:rsidRPr="001F46F0" w:rsidRDefault="001F46F0" w:rsidP="00A60887">
      <w:pPr>
        <w:pStyle w:val="Ttulo3"/>
      </w:pPr>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A60887">
      <w:pPr>
        <w:pStyle w:val="Ttulo3"/>
      </w:pPr>
      <w:r>
        <w:t>Como o BackPEI mede?</w:t>
      </w:r>
    </w:p>
    <w:p w14:paraId="429E845E" w14:textId="42B3115D" w:rsidR="001F46F0" w:rsidRDefault="001F46F0" w:rsidP="00A60887">
      <w:pPr>
        <w:pStyle w:val="Ttulo3"/>
      </w:pPr>
      <w:r>
        <w:t>Como são avaliados os procedimentos?</w:t>
      </w:r>
    </w:p>
    <w:p w14:paraId="651896EC" w14:textId="600AB33B" w:rsidR="001F46F0" w:rsidRDefault="001F46F0" w:rsidP="00A60887">
      <w:pPr>
        <w:pStyle w:val="Ttulo3"/>
      </w:pPr>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lastRenderedPageBreak/>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Por exemplo, a questão 6, que inicialmente pontuou 2 pontos, foi reformulada de "Você estuda/lê na cama?" para "Você estuda na cama?;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pq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r w:rsidRPr="001709D5">
        <w:t>Throughout the school day, as well as the day in general, we adopt many correct positions and therefore there could be various responses affecting agreement.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lastRenderedPageBreak/>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5"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6"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7"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8"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9" w:author="Lucas Beraldo" w:date="2025-04-30T11:12:00Z" w:initials="LB">
    <w:p w14:paraId="16794D26" w14:textId="43FC8DDF" w:rsidR="00B604AE" w:rsidRDefault="00B604AE">
      <w:pPr>
        <w:pStyle w:val="Textodecomentrio"/>
      </w:pPr>
      <w:r>
        <w:rPr>
          <w:rStyle w:val="Refdecomentrio"/>
        </w:rPr>
        <w:annotationRef/>
      </w:r>
      <w:r>
        <w:t>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muuuuuito pequenas e a imagem no geral muuuuuito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 w:id="10"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251713A2" w15:done="0"/>
  <w15:commentEx w15:paraId="09ED53DE" w15:done="0"/>
  <w15:commentEx w15:paraId="454C8D45" w15:done="0"/>
  <w15:commentEx w15:paraId="3BEF128E" w15:done="0"/>
  <w15:commentEx w15:paraId="16794D26" w15:done="0"/>
  <w15:commentEx w15:paraId="11F6F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Extensible w16cex:durableId="4632FC8B" w16cex:dateUtc="2025-05-08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Id w16cid:paraId="11F6F143" w16cid:durableId="4632FC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3994"/>
    <w:rsid w:val="000A6761"/>
    <w:rsid w:val="000D0CF4"/>
    <w:rsid w:val="000E1494"/>
    <w:rsid w:val="00104AED"/>
    <w:rsid w:val="0010654A"/>
    <w:rsid w:val="00114726"/>
    <w:rsid w:val="00123FEF"/>
    <w:rsid w:val="001709D5"/>
    <w:rsid w:val="001A3EC4"/>
    <w:rsid w:val="001A7089"/>
    <w:rsid w:val="001C2EA1"/>
    <w:rsid w:val="001D01C7"/>
    <w:rsid w:val="001E6B49"/>
    <w:rsid w:val="001F46F0"/>
    <w:rsid w:val="00217A89"/>
    <w:rsid w:val="00220253"/>
    <w:rsid w:val="002359F8"/>
    <w:rsid w:val="00256AC2"/>
    <w:rsid w:val="0026323E"/>
    <w:rsid w:val="00265D4B"/>
    <w:rsid w:val="00294070"/>
    <w:rsid w:val="00295721"/>
    <w:rsid w:val="002A1CF5"/>
    <w:rsid w:val="002B561A"/>
    <w:rsid w:val="002B5678"/>
    <w:rsid w:val="002C23D5"/>
    <w:rsid w:val="002D1018"/>
    <w:rsid w:val="00300C47"/>
    <w:rsid w:val="00323BC4"/>
    <w:rsid w:val="003318AB"/>
    <w:rsid w:val="0033371D"/>
    <w:rsid w:val="00333742"/>
    <w:rsid w:val="003434DC"/>
    <w:rsid w:val="00347DDC"/>
    <w:rsid w:val="003627BB"/>
    <w:rsid w:val="0036679F"/>
    <w:rsid w:val="00387624"/>
    <w:rsid w:val="003965BD"/>
    <w:rsid w:val="003A1FDB"/>
    <w:rsid w:val="003D6128"/>
    <w:rsid w:val="003E55C8"/>
    <w:rsid w:val="003F65E3"/>
    <w:rsid w:val="004031C0"/>
    <w:rsid w:val="00421072"/>
    <w:rsid w:val="00443AB0"/>
    <w:rsid w:val="00447621"/>
    <w:rsid w:val="00461416"/>
    <w:rsid w:val="00482CA8"/>
    <w:rsid w:val="004C23A2"/>
    <w:rsid w:val="004C32AB"/>
    <w:rsid w:val="004C786B"/>
    <w:rsid w:val="004D5209"/>
    <w:rsid w:val="004E6278"/>
    <w:rsid w:val="005129C6"/>
    <w:rsid w:val="00552241"/>
    <w:rsid w:val="005744EC"/>
    <w:rsid w:val="005832BF"/>
    <w:rsid w:val="00597C32"/>
    <w:rsid w:val="005C0605"/>
    <w:rsid w:val="005D3AF7"/>
    <w:rsid w:val="005D5A87"/>
    <w:rsid w:val="005F03ED"/>
    <w:rsid w:val="00615B56"/>
    <w:rsid w:val="00635B7D"/>
    <w:rsid w:val="00650254"/>
    <w:rsid w:val="00685C2E"/>
    <w:rsid w:val="006C5DBE"/>
    <w:rsid w:val="007118B6"/>
    <w:rsid w:val="00714C1A"/>
    <w:rsid w:val="0072227D"/>
    <w:rsid w:val="007422A5"/>
    <w:rsid w:val="00782C48"/>
    <w:rsid w:val="007D34A7"/>
    <w:rsid w:val="007F0C84"/>
    <w:rsid w:val="00812EEA"/>
    <w:rsid w:val="00822559"/>
    <w:rsid w:val="00823908"/>
    <w:rsid w:val="00843843"/>
    <w:rsid w:val="008D358E"/>
    <w:rsid w:val="008F4158"/>
    <w:rsid w:val="0090110C"/>
    <w:rsid w:val="00950D33"/>
    <w:rsid w:val="009612E7"/>
    <w:rsid w:val="0096625B"/>
    <w:rsid w:val="00974A03"/>
    <w:rsid w:val="009D441C"/>
    <w:rsid w:val="00A00C0D"/>
    <w:rsid w:val="00A218FB"/>
    <w:rsid w:val="00A43DDD"/>
    <w:rsid w:val="00A519A4"/>
    <w:rsid w:val="00A56B12"/>
    <w:rsid w:val="00A60887"/>
    <w:rsid w:val="00A75950"/>
    <w:rsid w:val="00A91893"/>
    <w:rsid w:val="00AC2902"/>
    <w:rsid w:val="00AE1D0D"/>
    <w:rsid w:val="00AE35CB"/>
    <w:rsid w:val="00AF673C"/>
    <w:rsid w:val="00B023AF"/>
    <w:rsid w:val="00B14AD2"/>
    <w:rsid w:val="00B604AE"/>
    <w:rsid w:val="00B8080A"/>
    <w:rsid w:val="00BA2D72"/>
    <w:rsid w:val="00BB10E7"/>
    <w:rsid w:val="00BB24E0"/>
    <w:rsid w:val="00BD572E"/>
    <w:rsid w:val="00C04196"/>
    <w:rsid w:val="00C17CFC"/>
    <w:rsid w:val="00C27B98"/>
    <w:rsid w:val="00C6461F"/>
    <w:rsid w:val="00C71E93"/>
    <w:rsid w:val="00C75E8A"/>
    <w:rsid w:val="00C85265"/>
    <w:rsid w:val="00CA3BA6"/>
    <w:rsid w:val="00CB7917"/>
    <w:rsid w:val="00CD5FF1"/>
    <w:rsid w:val="00CF2A1E"/>
    <w:rsid w:val="00D0062A"/>
    <w:rsid w:val="00D142C5"/>
    <w:rsid w:val="00D2684B"/>
    <w:rsid w:val="00D428E0"/>
    <w:rsid w:val="00D438F7"/>
    <w:rsid w:val="00D46684"/>
    <w:rsid w:val="00D718BF"/>
    <w:rsid w:val="00D930EB"/>
    <w:rsid w:val="00DB4265"/>
    <w:rsid w:val="00DD05F6"/>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14</Pages>
  <Words>28439</Words>
  <Characters>153572</Characters>
  <Application>Microsoft Office Word</Application>
  <DocSecurity>0</DocSecurity>
  <Lines>1279</Lines>
  <Paragraphs>363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74</cp:revision>
  <dcterms:created xsi:type="dcterms:W3CDTF">2025-03-12T15:42:00Z</dcterms:created>
  <dcterms:modified xsi:type="dcterms:W3CDTF">2025-05-08T22:02:00Z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id="x7QmYnqS"/&gt;&lt;style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