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190360BC" w:rsidR="00DA764F" w:rsidRPr="00DA764F" w:rsidRDefault="001E6E49" w:rsidP="001E6E49">
      <w:pPr>
        <w:pStyle w:val="Ttulo1"/>
        <w:jc w:val="center"/>
      </w:pPr>
      <w:bookmarkStart w:id="0" w:name="_Hlk197974188"/>
      <w:r>
        <w:rPr>
          <w:bCs/>
        </w:rPr>
        <w:t xml:space="preserve">Dez anos de Backpei: uma </w:t>
      </w:r>
      <w:r w:rsidR="00B95416">
        <w:rPr>
          <w:bCs/>
        </w:rPr>
        <w:t>revisão de escopo</w:t>
      </w:r>
      <w:r>
        <w:rPr>
          <w:bCs/>
        </w:rPr>
        <w:t xml:space="preserv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14B6403D"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clinimetria, que, embora não seja uma disciplina formalizada no campo da ciência da saúde, apresenta um </w:t>
      </w:r>
      <w:r w:rsidR="00E42A0F">
        <w:t xml:space="preserve">volume </w:t>
      </w:r>
      <w:r w:rsidR="009850FC">
        <w:t>significativo de estudos e grande importância</w:t>
      </w:r>
      <w:r w:rsidR="00E42A0F">
        <w:t xml:space="preserve"> no campo</w:t>
      </w:r>
      <w:r w:rsidR="009850FC">
        <w:t>.</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4AC22057" w:rsidR="00B8080A" w:rsidRDefault="00EF4D59" w:rsidP="00B8080A">
      <w:r>
        <w:t xml:space="preserve">Uma forma de realizar </w:t>
      </w:r>
      <w:r w:rsidR="009850FC">
        <w:t>este</w:t>
      </w:r>
      <w:r>
        <w:t xml:space="preserve"> </w:t>
      </w:r>
      <w:r w:rsidR="00B8080A">
        <w:t>estudo</w:t>
      </w:r>
      <w:r w:rsidR="00F97685">
        <w:t xml:space="preserve"> </w:t>
      </w:r>
      <w:r w:rsidR="00E42A0F">
        <w:t xml:space="preserve">sobre </w:t>
      </w:r>
      <w:r w:rsidR="00F97685">
        <w:t>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145F853F" w:rsidR="008F4158" w:rsidRPr="00AE35CB" w:rsidRDefault="008F4158" w:rsidP="00B8080A">
      <w:r>
        <w:lastRenderedPageBreak/>
        <w:t>Como alvo de análise propomos</w:t>
      </w:r>
      <w:r w:rsidR="00F97685">
        <w:t xml:space="preserve"> analisar </w:t>
      </w:r>
      <w:r>
        <w:t xml:space="preserve">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w:t>
      </w:r>
      <w:r w:rsidR="000A23EF">
        <w:lastRenderedPageBreak/>
        <w:t xml:space="preserve">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58D961B1" w:rsidR="00812EEA" w:rsidRDefault="00812EEA" w:rsidP="00062C6E">
      <w:r>
        <w:t>A primeira seleção foi realizada a partir da leitura dos títulos e resumos. Nesta fase foram mantidos os artigos de revisão e aqueles que não se trata</w:t>
      </w:r>
      <w:r w:rsidR="00A00C0D">
        <w:t>vam</w:t>
      </w:r>
      <w:r>
        <w:t xml:space="preserve"> </w:t>
      </w:r>
      <w:r w:rsidR="00E42A0F">
        <w:t xml:space="preserve">de </w:t>
      </w:r>
      <w:r>
        <w:t xml:space="preserve">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os estudos restantes foram divididos entre aqueles que são de aplicação do BackPEI </w:t>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lastRenderedPageBreak/>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9"/>
          <w:pgSz w:w="11906" w:h="16838"/>
          <w:pgMar w:top="1701" w:right="1134" w:bottom="1134" w:left="1701" w:header="708" w:footer="708" w:gutter="0"/>
          <w:cols w:space="708"/>
          <w:docGrid w:linePitch="360"/>
        </w:sectPr>
      </w:pPr>
      <w:r>
        <w:lastRenderedPageBreak/>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proofErr w:type="spellStart"/>
            <w:r w:rsidRPr="009F0C8B">
              <w:rPr>
                <w:rFonts w:eastAsia="Times New Roman" w:cs="Arial"/>
                <w:kern w:val="0"/>
                <w:sz w:val="20"/>
                <w:szCs w:val="20"/>
                <w:lang w:eastAsia="pt-BR"/>
                <w14:ligatures w14:val="none"/>
              </w:rPr>
              <w:t>AVDs</w:t>
            </w:r>
            <w:proofErr w:type="spellEnd"/>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2" w:name="_Ref198035055"/>
      <w:bookmarkStart w:id="3" w:name="_Ref198035051"/>
      <w:r>
        <w:t xml:space="preserve">Tabela </w:t>
      </w:r>
      <w:r>
        <w:fldChar w:fldCharType="begin"/>
      </w:r>
      <w:r>
        <w:instrText xml:space="preserve"> SEQ Tabela \* ARABIC </w:instrText>
      </w:r>
      <w:r>
        <w:fldChar w:fldCharType="separate"/>
      </w:r>
      <w:r>
        <w:rPr>
          <w:noProof/>
        </w:rPr>
        <w:t>1</w:t>
      </w:r>
      <w:r>
        <w:rPr>
          <w:noProof/>
        </w:rPr>
        <w:fldChar w:fldCharType="end"/>
      </w:r>
      <w:bookmarkEnd w:id="2"/>
      <w:r>
        <w:t xml:space="preserve"> – </w:t>
      </w:r>
      <w:r w:rsidRPr="007C0164">
        <w:t>Fontes</w:t>
      </w:r>
      <w:r>
        <w:t xml:space="preserve"> incluídas na revisão</w:t>
      </w:r>
      <w:bookmarkEnd w:id="3"/>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523FE6EE" w14:textId="77777777" w:rsidR="00E26838" w:rsidRDefault="00E26838" w:rsidP="00685C2E"/>
    <w:p w14:paraId="0472724F" w14:textId="77777777" w:rsidR="003261A1" w:rsidRDefault="003261A1" w:rsidP="003261A1">
      <w:pPr>
        <w:pStyle w:val="Legenda"/>
      </w:pPr>
      <w:bookmarkStart w:id="4" w:name="_Ref197634909"/>
      <w:bookmarkStart w:id="5" w:name="_Ref197941347"/>
      <w:r>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
      <w:r>
        <w:t xml:space="preserve"> - </w:t>
      </w:r>
      <w:r w:rsidRPr="00EE7692">
        <w:t>Linha do tempo do BackPEI.</w:t>
      </w:r>
      <w:bookmarkEnd w:id="5"/>
    </w:p>
    <w:p w14:paraId="3C06DBA3" w14:textId="77777777" w:rsidR="000366F3" w:rsidRDefault="00B604AE" w:rsidP="003261A1">
      <w:pPr>
        <w:keepNext/>
        <w:ind w:firstLine="0"/>
      </w:pPr>
      <w:r>
        <w:rPr>
          <w:noProof/>
        </w:rPr>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0941718C" w14:textId="77777777" w:rsidR="00E26838" w:rsidRDefault="00E26838" w:rsidP="00CB4C14"/>
    <w:p w14:paraId="103F1AC1" w14:textId="788B0B67"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w:t>
      </w:r>
      <w:r>
        <w:lastRenderedPageBreak/>
        <w:t xml:space="preserve">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w:t>
      </w:r>
      <w:r>
        <w:lastRenderedPageBreak/>
        <w:t>validade de conteúdo aplicada no BackPEI difere da aplicada ao BABAQ, pois parece 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 xml:space="preserve">Esta dor no pescoço impede ou </w:t>
      </w:r>
      <w:r w:rsidR="00BA2D72" w:rsidRPr="00BA2D72">
        <w:lastRenderedPageBreak/>
        <w:t>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xml:space="preserve">,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16BB074E" w14:textId="77777777" w:rsidR="00E26838" w:rsidRDefault="00E26838" w:rsidP="00204E4C"/>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6" w:name="_Ref197680962"/>
      <w:r>
        <w:t xml:space="preserve">Figura </w:t>
      </w:r>
      <w:r>
        <w:fldChar w:fldCharType="begin"/>
      </w:r>
      <w:r>
        <w:instrText xml:space="preserve"> SEQ Figura \* ARABIC </w:instrText>
      </w:r>
      <w:r>
        <w:fldChar w:fldCharType="separate"/>
      </w:r>
      <w:r w:rsidR="00577186">
        <w:rPr>
          <w:noProof/>
        </w:rPr>
        <w:t>3</w:t>
      </w:r>
      <w:r>
        <w:rPr>
          <w:noProof/>
        </w:rPr>
        <w:fldChar w:fldCharType="end"/>
      </w:r>
      <w:bookmarkEnd w:id="6"/>
      <w:r>
        <w:t xml:space="preserve"> - Exemplo de item com frequências como alternativa</w:t>
      </w:r>
    </w:p>
    <w:p w14:paraId="530AB273" w14:textId="77777777" w:rsidR="00E26838" w:rsidRDefault="00E26838" w:rsidP="006621C5"/>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lastRenderedPageBreak/>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w:t>
      </w:r>
      <w:r w:rsidRPr="00303144">
        <w:lastRenderedPageBreak/>
        <w:t xml:space="preserve">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lastRenderedPageBreak/>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7" w:name="_Ref197766710"/>
      <w:r>
        <w:t xml:space="preserve">Figura </w:t>
      </w:r>
      <w:r>
        <w:fldChar w:fldCharType="begin"/>
      </w:r>
      <w:r>
        <w:instrText xml:space="preserve"> SEQ Figura \* ARABIC </w:instrText>
      </w:r>
      <w:r>
        <w:fldChar w:fldCharType="separate"/>
      </w:r>
      <w:r w:rsidR="00577186">
        <w:rPr>
          <w:noProof/>
        </w:rPr>
        <w:t>4</w:t>
      </w:r>
      <w:r>
        <w:rPr>
          <w:noProof/>
        </w:rPr>
        <w:fldChar w:fldCharType="end"/>
      </w:r>
      <w:bookmarkEnd w:id="7"/>
      <w:r>
        <w:t xml:space="preserve"> - Escala Visual Analógica da intensidade da dor</w:t>
      </w:r>
    </w:p>
    <w:p w14:paraId="52F46296" w14:textId="77777777" w:rsidR="00E26838" w:rsidRDefault="00E26838" w:rsidP="002C6992"/>
    <w:p w14:paraId="713C37E9" w14:textId="0476FE5F"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3"/>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4"/>
                          <a:stretch>
                            <a:fillRect/>
                          </a:stretch>
                        </pic:blipFill>
                        <pic:spPr>
                          <a:xfrm>
                            <a:off x="0" y="2305958"/>
                            <a:ext cx="7116168" cy="1924319"/>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8" w:name="_Ref197768161"/>
      <w:r>
        <w:t xml:space="preserve">Figura </w:t>
      </w:r>
      <w:r>
        <w:fldChar w:fldCharType="begin"/>
      </w:r>
      <w:r>
        <w:instrText xml:space="preserve"> SEQ Figura \* ARABIC </w:instrText>
      </w:r>
      <w:r>
        <w:fldChar w:fldCharType="separate"/>
      </w:r>
      <w:r w:rsidR="00577186">
        <w:rPr>
          <w:noProof/>
        </w:rPr>
        <w:t>5</w:t>
      </w:r>
      <w:r>
        <w:rPr>
          <w:noProof/>
        </w:rPr>
        <w:fldChar w:fldCharType="end"/>
      </w:r>
      <w:bookmarkEnd w:id="8"/>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9"/>
      <w:proofErr w:type="spellStart"/>
      <w:r>
        <w:t>AVD</w:t>
      </w:r>
      <w:r w:rsidR="00EE6DE6">
        <w:t>s</w:t>
      </w:r>
      <w:proofErr w:type="spellEnd"/>
      <w:r>
        <w:t xml:space="preserve"> </w:t>
      </w:r>
      <w:commentRangeEnd w:id="9"/>
      <w:r w:rsidR="00CF043C">
        <w:rPr>
          <w:rStyle w:val="Refdecomentrio"/>
        </w:rPr>
        <w:commentReference w:id="9"/>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5"/>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6"/>
                          <a:stretch>
                            <a:fillRect/>
                          </a:stretch>
                        </pic:blipFill>
                        <pic:spPr>
                          <a:xfrm>
                            <a:off x="1486107" y="0"/>
                            <a:ext cx="1467055" cy="2486372"/>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0" w:name="_Ref197785888"/>
      <w:bookmarkStart w:id="11" w:name="_Ref197785880"/>
      <w:r>
        <w:t xml:space="preserve">Figura </w:t>
      </w:r>
      <w:r>
        <w:fldChar w:fldCharType="begin"/>
      </w:r>
      <w:r>
        <w:instrText xml:space="preserve"> SEQ Figura \* ARABIC </w:instrText>
      </w:r>
      <w:r>
        <w:fldChar w:fldCharType="separate"/>
      </w:r>
      <w:r>
        <w:rPr>
          <w:noProof/>
        </w:rPr>
        <w:t>6</w:t>
      </w:r>
      <w:r>
        <w:rPr>
          <w:noProof/>
        </w:rPr>
        <w:fldChar w:fldCharType="end"/>
      </w:r>
      <w:bookmarkEnd w:id="10"/>
      <w:r>
        <w:t xml:space="preserve"> - D</w:t>
      </w:r>
      <w:r w:rsidRPr="00666E71">
        <w:t>esign gráfico para apoio aos itens relativos à dor</w:t>
      </w:r>
      <w:bookmarkEnd w:id="11"/>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clinimetria. </w:t>
      </w:r>
      <w:commentRangeStart w:id="12"/>
      <w:r w:rsidRPr="00320814">
        <w:t xml:space="preserve">A caracterização, por exemplo, pode ocorrer de </w:t>
      </w:r>
      <w:r w:rsidRPr="00320814">
        <w:lastRenderedPageBreak/>
        <w:t>diferentes formas. Na definição operacional, o elemento é caracterizado com base nos próprios procedimentos do sistema de medição, como ocorre no caso do índice de massa corporal (IMC)</w:t>
      </w:r>
      <w:r w:rsidR="005008FD">
        <w:t xml:space="preserve"> e a escala de </w:t>
      </w:r>
      <w:proofErr w:type="spellStart"/>
      <w:r w:rsidR="005008FD">
        <w:t>Apgar</w:t>
      </w:r>
      <w:proofErr w:type="spellEnd"/>
      <w:r w:rsidR="005008FD">
        <w:t>.</w:t>
      </w:r>
      <w:r w:rsidR="005B22F5">
        <w:t xml:space="preserve"> </w:t>
      </w:r>
      <w:r w:rsidRPr="00320814">
        <w:t>Outra abordagem consiste na 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(Bradburn; Cartwright; Fuller, 2016; Cartwright; Runhardt, 2018)</w:t>
      </w:r>
      <w:r w:rsidR="005008FD">
        <w:fldChar w:fldCharType="end"/>
      </w:r>
      <w:r w:rsidR="005008FD">
        <w:t>.</w:t>
      </w:r>
      <w:r w:rsidR="005B22F5">
        <w:t xml:space="preserve"> </w:t>
      </w:r>
      <w:commentRangeEnd w:id="12"/>
      <w:r w:rsidR="005008FD">
        <w:rPr>
          <w:rStyle w:val="Refdecomentrio"/>
        </w:rPr>
        <w:commentReference w:id="12"/>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w:t>
      </w:r>
      <w:commentRangeStart w:id="13"/>
      <w:r w:rsidRPr="00320814">
        <w:t xml:space="preserve">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commentRangeEnd w:id="13"/>
      <w:r w:rsidR="00A54D77">
        <w:rPr>
          <w:rStyle w:val="Refdecomentrio"/>
        </w:rPr>
        <w:commentReference w:id="13"/>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 xml:space="preserve">o sistema </w:t>
      </w:r>
      <w:proofErr w:type="spellStart"/>
      <w:r w:rsidRPr="00A54D77">
        <w:t>LADy</w:t>
      </w:r>
      <w:proofErr w:type="spellEnd"/>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3EB954E4"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 terminológica.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w:t>
      </w:r>
      <w:r w:rsidRPr="00320814">
        <w:lastRenderedPageBreak/>
        <w:t xml:space="preserve">metodologia empregada pelas autoras como “erro de medição teste-reteste”, um 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w:t>
      </w:r>
      <w:r w:rsidRPr="00320814">
        <w:lastRenderedPageBreak/>
        <w:t>especialistas. No caso do BackPEI, os especialistas foram questionados sobre 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 xml:space="preserve">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como o BackPEI.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6E016586"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polinomial,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Embora a diferença de potencial seja mensurada em volts—o que corresponde a uma escala racional—sua conversão para °C não implica que a escala de temperatura adotada seja intervalar. 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w:t>
      </w:r>
      <w:commentRangeStart w:id="14"/>
      <w:commentRangeStart w:id="15"/>
      <w:r w:rsidRPr="0074233B">
        <w:t xml:space="preserve">medição </w:t>
      </w:r>
      <w:proofErr w:type="spellStart"/>
      <w:r w:rsidRPr="0074233B">
        <w:t>nômica</w:t>
      </w:r>
      <w:proofErr w:type="spellEnd"/>
      <w:r w:rsidR="00A54D77">
        <w:t xml:space="preserve">, que ocorre quando a medição de um conceito (como a dor) é feito a partir de outro (como o comprimento) e é necessário que se conheça a relação entre ambos para a determinação dos valores, mas, ao mesmo tempo, é preciso conhecer os valores para a determinação da relação </w:t>
      </w:r>
      <w:commentRangeEnd w:id="14"/>
      <w:r w:rsidR="00420208">
        <w:rPr>
          <w:rStyle w:val="Refdecomentrio"/>
        </w:rPr>
        <w:commentReference w:id="14"/>
      </w:r>
      <w:commentRangeEnd w:id="15"/>
      <w:r w:rsidR="00EC6095">
        <w:rPr>
          <w:rStyle w:val="Refdecomentrio"/>
        </w:rPr>
        <w:commentReference w:id="15"/>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06577081"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empiricamente. Além disso, podem ser consideradas medidas já utilizadas em pesquisas, como os efeitos de piso e teto, que </w:t>
      </w:r>
      <w:r w:rsidRPr="0074233B">
        <w:lastRenderedPageBreak/>
        <w:t xml:space="preserve">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w:t>
      </w:r>
      <w:r w:rsidR="002B25F1">
        <w:t xml:space="preserve">. </w:t>
      </w:r>
      <w:commentRangeStart w:id="16"/>
      <w:r w:rsidR="002B25F1">
        <w:t>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 xml:space="preserve">sido </w:t>
      </w:r>
      <w:proofErr w:type="gramStart"/>
      <w:r w:rsidR="006F0257">
        <w:t>adequados</w:t>
      </w:r>
      <w:proofErr w:type="gramEnd"/>
      <w:r w:rsidR="006F0257">
        <w:t xml:space="preserve"> para as pesquisas sendo conduzidas.</w:t>
      </w:r>
      <w:commentRangeEnd w:id="16"/>
      <w:r w:rsidR="006F0257">
        <w:rPr>
          <w:rStyle w:val="Refdecomentrio"/>
        </w:rPr>
        <w:commentReference w:id="16"/>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47E0370F" w:rsidR="0083593E" w:rsidRDefault="000750E1" w:rsidP="00FB39F7">
      <w:bookmarkStart w:id="17" w:name="_Hlk198169894"/>
      <w:r>
        <w:t>Como sugestões para</w:t>
      </w:r>
      <w:r w:rsidR="006B64DF">
        <w:t xml:space="preserve"> futuras pesquisas na clinimetria: </w:t>
      </w:r>
      <w:r w:rsidR="006B64DF" w:rsidRPr="0083593E">
        <w:t>apresentação de definições claras e referências para as metodologias empregadas</w:t>
      </w:r>
      <w:r w:rsidR="006B64DF">
        <w:t>;</w:t>
      </w:r>
      <w:r w:rsidR="006B64DF" w:rsidRPr="0083593E">
        <w:t xml:space="preserve"> avaliar a caracterização através da validade de conteúdo</w:t>
      </w:r>
      <w:r w:rsidR="00D429B3">
        <w:t>,</w:t>
      </w:r>
      <w:r w:rsidR="006B64DF" w:rsidRPr="0083593E">
        <w:t xml:space="preserve"> questionando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criar suposições sobre características da representação e testá-las a partir dos dados coletados e avaliar o efeito piso e teto.</w:t>
      </w:r>
    </w:p>
    <w:bookmarkEnd w:id="17"/>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w:t>
      </w:r>
      <w:r>
        <w:lastRenderedPageBreak/>
        <w:t xml:space="preserve">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lastRenderedPageBreak/>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lastRenderedPageBreak/>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2" w:author="Lucas Beraldo" w:date="2025-05-16T16:40:00Z" w:initials="LB">
    <w:p w14:paraId="703C34DC" w14:textId="4C839104" w:rsidR="005008FD" w:rsidRDefault="005008FD">
      <w:pPr>
        <w:pStyle w:val="Textodecomentrio"/>
      </w:pPr>
      <w:r>
        <w:rPr>
          <w:rStyle w:val="Refdecomentrio"/>
        </w:rPr>
        <w:annotationRef/>
      </w:r>
      <w:r>
        <w:t>Coloquei 2 exemplos de cada um pra ficar bonitinho. Nesse caso aqui os textos da referência apresentam as formas da caracterização e eu que trouxe os exemplos, o IMC é o único que veio do texto. Eu coloquei as referências no final do parágrafo, acha que dá pra entender que veio tudo de lá?</w:t>
      </w:r>
    </w:p>
  </w:comment>
  <w:comment w:id="13" w:author="Lucas Beraldo" w:date="2025-05-16T16:44:00Z" w:initials="LB">
    <w:p w14:paraId="630673E9" w14:textId="77777777" w:rsidR="00A54D77" w:rsidRDefault="00A54D77">
      <w:pPr>
        <w:pStyle w:val="Textodecomentrio"/>
      </w:pPr>
      <w:r>
        <w:rPr>
          <w:rStyle w:val="Refdecomentrio"/>
        </w:rPr>
        <w:annotationRef/>
      </w:r>
      <w:r>
        <w:t>Reescrevi. Acha que ficou claro?</w:t>
      </w:r>
    </w:p>
    <w:p w14:paraId="2696D84F" w14:textId="11FB58FF" w:rsidR="00A54D77" w:rsidRDefault="00A54D77">
      <w:pPr>
        <w:pStyle w:val="Textodecomentrio"/>
      </w:pPr>
    </w:p>
  </w:comment>
  <w:comment w:id="14" w:author="Cláudia Candotti" w:date="2025-05-15T11:13:00Z" w:initials="CC">
    <w:p w14:paraId="46A0460F" w14:textId="0B6FE5FD" w:rsidR="00EE6DE6" w:rsidRDefault="00420208" w:rsidP="00EE6DE6">
      <w:pPr>
        <w:pStyle w:val="Textodecomentrio"/>
        <w:ind w:firstLine="0"/>
        <w:jc w:val="left"/>
      </w:pPr>
      <w:r>
        <w:rPr>
          <w:rStyle w:val="Refdecomentrio"/>
        </w:rPr>
        <w:annotationRef/>
      </w:r>
      <w:r w:rsidR="00EE6DE6">
        <w:rPr>
          <w:highlight w:val="yellow"/>
        </w:rPr>
        <w:t xml:space="preserve">O que é isso? Coloca uma breve definição: </w:t>
      </w:r>
      <w:r w:rsidR="00EE6DE6">
        <w:rPr>
          <w:color w:val="001D35"/>
          <w:highlight w:val="yellow"/>
        </w:rPr>
        <w:t>medição que usa nomes ou categorias para identificar e distinguir entre diferentes itens. </w:t>
      </w:r>
      <w:r w:rsidR="00EE6DE6">
        <w:rPr>
          <w:highlight w:val="yellow"/>
        </w:rPr>
        <w:t xml:space="preserve"> </w:t>
      </w:r>
    </w:p>
  </w:comment>
  <w:comment w:id="15" w:author="Lucas Beraldo" w:date="2025-05-16T16:52:00Z" w:initials="LB">
    <w:p w14:paraId="03DF15B5" w14:textId="4D573733" w:rsidR="00EC6095" w:rsidRDefault="00EC6095">
      <w:pPr>
        <w:pStyle w:val="Textodecomentrio"/>
      </w:pPr>
      <w:r>
        <w:rPr>
          <w:rStyle w:val="Refdecomentrio"/>
        </w:rPr>
        <w:annotationRef/>
      </w:r>
      <w:r>
        <w:t>Feito</w:t>
      </w:r>
    </w:p>
  </w:comment>
  <w:comment w:id="16" w:author="Lucas Beraldo" w:date="2025-05-16T16:03:00Z" w:initials="LB">
    <w:p w14:paraId="75488382" w14:textId="7B757B26" w:rsidR="006F0257" w:rsidRDefault="006F0257">
      <w:pPr>
        <w:pStyle w:val="Textodecomentrio"/>
      </w:pPr>
      <w:r>
        <w:rPr>
          <w:rStyle w:val="Refdecomentrio"/>
        </w:rPr>
        <w:annotationRef/>
      </w:r>
      <w:r>
        <w:t>Reescrito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38D7F" w15:done="0"/>
  <w15:commentEx w15:paraId="703C34DC" w15:done="0"/>
  <w15:commentEx w15:paraId="2696D84F" w15:done="0"/>
  <w15:commentEx w15:paraId="46A0460F" w15:done="0"/>
  <w15:commentEx w15:paraId="03DF15B5" w15:paraIdParent="46A0460F" w15:done="0"/>
  <w15:commentEx w15:paraId="75488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00389C" w16cex:dateUtc="2025-05-11T23:10:00Z"/>
  <w16cex:commentExtensible w16cex:durableId="2B19F199" w16cex:dateUtc="2025-05-16T19:40:00Z"/>
  <w16cex:commentExtensible w16cex:durableId="10A65C0F" w16cex:dateUtc="2025-05-16T19:44:00Z"/>
  <w16cex:commentExtensible w16cex:durableId="0FE89526" w16cex:dateUtc="2025-05-15T14:13:00Z"/>
  <w16cex:commentExtensible w16cex:durableId="4C6EBFF2" w16cex:dateUtc="2025-05-16T19:52:00Z"/>
  <w16cex:commentExtensible w16cex:durableId="119C4340" w16cex:dateUtc="2025-05-16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38D7F" w16cid:durableId="3A00389C"/>
  <w16cid:commentId w16cid:paraId="703C34DC" w16cid:durableId="2B19F199"/>
  <w16cid:commentId w16cid:paraId="2696D84F" w16cid:durableId="10A65C0F"/>
  <w16cid:commentId w16cid:paraId="46A0460F" w16cid:durableId="0FE89526"/>
  <w16cid:commentId w16cid:paraId="03DF15B5" w16cid:durableId="4C6EBFF2"/>
  <w16cid:commentId w16cid:paraId="75488382" w16cid:durableId="119C43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A8E6" w14:textId="77777777" w:rsidR="00F13170" w:rsidRDefault="00F13170" w:rsidP="009850FC">
      <w:pPr>
        <w:spacing w:line="240" w:lineRule="auto"/>
      </w:pPr>
      <w:r>
        <w:separator/>
      </w:r>
    </w:p>
  </w:endnote>
  <w:endnote w:type="continuationSeparator" w:id="0">
    <w:p w14:paraId="61508AB6" w14:textId="77777777" w:rsidR="00F13170" w:rsidRDefault="00F13170"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722AE" w14:textId="77777777" w:rsidR="00F13170" w:rsidRDefault="00F13170" w:rsidP="009850FC">
      <w:pPr>
        <w:spacing w:line="240" w:lineRule="auto"/>
      </w:pPr>
      <w:r>
        <w:separator/>
      </w:r>
    </w:p>
  </w:footnote>
  <w:footnote w:type="continuationSeparator" w:id="0">
    <w:p w14:paraId="3B3463E3" w14:textId="77777777" w:rsidR="00F13170" w:rsidRDefault="00F13170"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rson w15:author="Cláudia Candotti">
    <w15:presenceInfo w15:providerId="None" w15:userId="Cláudia Candot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2C6E"/>
    <w:rsid w:val="00070585"/>
    <w:rsid w:val="000750E1"/>
    <w:rsid w:val="00081B10"/>
    <w:rsid w:val="00083C3A"/>
    <w:rsid w:val="00084270"/>
    <w:rsid w:val="000977D2"/>
    <w:rsid w:val="000A02BA"/>
    <w:rsid w:val="000A0591"/>
    <w:rsid w:val="000A23EF"/>
    <w:rsid w:val="000A3994"/>
    <w:rsid w:val="000A5DF3"/>
    <w:rsid w:val="000A6761"/>
    <w:rsid w:val="000D0CF4"/>
    <w:rsid w:val="000D63C1"/>
    <w:rsid w:val="000D681B"/>
    <w:rsid w:val="000E1494"/>
    <w:rsid w:val="000E1D5E"/>
    <w:rsid w:val="000E2721"/>
    <w:rsid w:val="000E316E"/>
    <w:rsid w:val="000F42A8"/>
    <w:rsid w:val="00104AED"/>
    <w:rsid w:val="0010654A"/>
    <w:rsid w:val="00114726"/>
    <w:rsid w:val="0011595A"/>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679F"/>
    <w:rsid w:val="00374996"/>
    <w:rsid w:val="00385D01"/>
    <w:rsid w:val="00387624"/>
    <w:rsid w:val="003913D4"/>
    <w:rsid w:val="00394E5E"/>
    <w:rsid w:val="003965BD"/>
    <w:rsid w:val="00396D35"/>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63EC"/>
    <w:rsid w:val="005008FD"/>
    <w:rsid w:val="005129C6"/>
    <w:rsid w:val="00523703"/>
    <w:rsid w:val="00531C33"/>
    <w:rsid w:val="00536952"/>
    <w:rsid w:val="00552241"/>
    <w:rsid w:val="0057001D"/>
    <w:rsid w:val="005723D0"/>
    <w:rsid w:val="005735EE"/>
    <w:rsid w:val="005744EC"/>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D4D"/>
    <w:rsid w:val="006621C5"/>
    <w:rsid w:val="00663D31"/>
    <w:rsid w:val="00685C2E"/>
    <w:rsid w:val="00694D91"/>
    <w:rsid w:val="006B131E"/>
    <w:rsid w:val="006B64DF"/>
    <w:rsid w:val="006B650E"/>
    <w:rsid w:val="006C0F5D"/>
    <w:rsid w:val="006C5DBE"/>
    <w:rsid w:val="006F0257"/>
    <w:rsid w:val="006F0C59"/>
    <w:rsid w:val="006F45C5"/>
    <w:rsid w:val="006F739D"/>
    <w:rsid w:val="007118B6"/>
    <w:rsid w:val="00714C1A"/>
    <w:rsid w:val="0072227D"/>
    <w:rsid w:val="00731691"/>
    <w:rsid w:val="00732268"/>
    <w:rsid w:val="00734560"/>
    <w:rsid w:val="00741530"/>
    <w:rsid w:val="007422A5"/>
    <w:rsid w:val="007428BA"/>
    <w:rsid w:val="00754697"/>
    <w:rsid w:val="00754C6B"/>
    <w:rsid w:val="00765ABF"/>
    <w:rsid w:val="00770B04"/>
    <w:rsid w:val="0077715E"/>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401AC"/>
    <w:rsid w:val="0094053D"/>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2571"/>
    <w:rsid w:val="00B14AD2"/>
    <w:rsid w:val="00B35A09"/>
    <w:rsid w:val="00B45248"/>
    <w:rsid w:val="00B604AE"/>
    <w:rsid w:val="00B8080A"/>
    <w:rsid w:val="00B95416"/>
    <w:rsid w:val="00BA2D72"/>
    <w:rsid w:val="00BA2E67"/>
    <w:rsid w:val="00BB10E7"/>
    <w:rsid w:val="00BB24E0"/>
    <w:rsid w:val="00BB2701"/>
    <w:rsid w:val="00BC6804"/>
    <w:rsid w:val="00BD572E"/>
    <w:rsid w:val="00BE0591"/>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26838"/>
    <w:rsid w:val="00E403C7"/>
    <w:rsid w:val="00E42A0F"/>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63F2"/>
    <w:rsid w:val="00EE6DE6"/>
    <w:rsid w:val="00EF4D59"/>
    <w:rsid w:val="00F060AB"/>
    <w:rsid w:val="00F071D2"/>
    <w:rsid w:val="00F10DF7"/>
    <w:rsid w:val="00F1153E"/>
    <w:rsid w:val="00F13170"/>
    <w:rsid w:val="00F15547"/>
    <w:rsid w:val="00F15868"/>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hyperlink" Target="https://github.com/lucasmberaldo/10-anos-de-back-pei" TargetMode="External"/><Relationship Id="rId12"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microsoft.com/office/2018/08/relationships/commentsExtensible" Target="commentsExtensible.xml"/><Relationship Id="rId5"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3660</TotalTime>
  <Pages>39</Pages>
  <Words>91744</Words>
  <Characters>495423</Characters>
  <Application>Microsoft Office Word</Application>
  <DocSecurity>0</DocSecurity>
  <Lines>4128</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157</cp:revision>
  <dcterms:created xsi:type="dcterms:W3CDTF">2025-03-12T15:42:00Z</dcterms:created>
  <dcterms:modified xsi:type="dcterms:W3CDTF">2025-05-23T14:53:00Z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