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aps/>
          <w:color w:val="B45309"/>
          <w:spacing w:val="40"/>
          <w:sz w:val="16"/>
          <w:szCs w:val="16"/>
        </w:rPr>
        <w:t xml:space="preserve">Memorando Estratégico · Confidencial — Uso Interno</w:t>
      </w:r>
    </w:p>
    <w:p>
      <w:pPr>
        <w:spacing w:after="40"/>
      </w:pPr>
      <w:r>
        <w:rPr>
          <w:b/>
          <w:bCs/>
          <w:i/>
          <w:iCs/>
          <w:color w:val="0F172A"/>
          <w:sz w:val="40"/>
          <w:szCs w:val="40"/>
        </w:rPr>
        <w:t xml:space="preserve">Boardplan diante da IA</w:t>
      </w:r>
    </w:p>
    <w:p>
      <w:pPr>
        <w:pBdr>
          <w:bottom w:val="single" w:color="D97706" w:sz="12" w:space="8"/>
        </w:pBdr>
        <w:spacing w:after="160"/>
      </w:pPr>
      <w:r>
        <w:rPr>
          <w:color w:val="334155"/>
          <w:sz w:val="22"/>
          <w:szCs w:val="22"/>
        </w:rPr>
        <w:t xml:space="preserve">Análise de risco competitivo e plano de competitividade</w:t>
      </w:r>
    </w:p>
    <w:p>
      <w:pPr>
        <w:spacing w:after="20"/>
      </w:pPr>
      <w:r>
        <w:rPr>
          <w:b/>
          <w:bCs/>
          <w:color w:val="0F172A"/>
          <w:sz w:val="18"/>
          <w:szCs w:val="18"/>
        </w:rPr>
        <w:t xml:space="preserve">Para:  </w:t>
      </w:r>
      <w:r>
        <w:rPr>
          <w:color w:val="334155"/>
          <w:sz w:val="18"/>
          <w:szCs w:val="18"/>
        </w:rPr>
        <w:t xml:space="preserve">Direção — INEPAD Governança e Sucessão</w:t>
      </w:r>
    </w:p>
    <w:p>
      <w:pPr>
        <w:spacing w:after="20"/>
      </w:pPr>
      <w:r>
        <w:rPr>
          <w:b/>
          <w:bCs/>
          <w:color w:val="0F172A"/>
          <w:sz w:val="18"/>
          <w:szCs w:val="18"/>
        </w:rPr>
        <w:t xml:space="preserve">De:  </w:t>
      </w:r>
      <w:r>
        <w:rPr>
          <w:color w:val="334155"/>
          <w:sz w:val="18"/>
          <w:szCs w:val="18"/>
        </w:rPr>
        <w:t xml:space="preserve">Lucas Clemente</w:t>
      </w:r>
    </w:p>
    <w:p>
      <w:pPr>
        <w:spacing w:after="20"/>
      </w:pPr>
      <w:r>
        <w:rPr>
          <w:b/>
          <w:bCs/>
          <w:color w:val="0F172A"/>
          <w:sz w:val="18"/>
          <w:szCs w:val="18"/>
        </w:rPr>
        <w:t xml:space="preserve">Data:  </w:t>
      </w:r>
      <w:r>
        <w:rPr>
          <w:color w:val="334155"/>
          <w:sz w:val="18"/>
          <w:szCs w:val="18"/>
        </w:rPr>
        <w:t xml:space="preserve">22 de julho de 2026</w:t>
      </w:r>
    </w:p>
    <w:p>
      <w:pPr>
        <w:spacing w:after="20"/>
      </w:pPr>
      <w:r>
        <w:rPr>
          <w:b/>
          <w:bCs/>
          <w:color w:val="0F172A"/>
          <w:sz w:val="18"/>
          <w:szCs w:val="18"/>
        </w:rPr>
        <w:t xml:space="preserve">Assunto:  </w:t>
      </w:r>
      <w:r>
        <w:rPr>
          <w:color w:val="334155"/>
          <w:sz w:val="18"/>
          <w:szCs w:val="18"/>
        </w:rPr>
        <w:t xml:space="preserve">Exposição do Boardplan ao cenário de IA e plano de ação</w:t>
      </w:r>
    </w:p>
    <w:p>
      <w:pPr>
        <w:spacing w:after="90" w:before="220"/>
      </w:pPr>
      <w:r>
        <w:rPr>
          <w:b/>
          <w:bCs/>
          <w:color w:val="B45309"/>
          <w:sz w:val="22"/>
          <w:szCs w:val="22"/>
        </w:rPr>
        <w:t xml:space="preserve">1.  </w:t>
      </w:r>
      <w:r>
        <w:rPr>
          <w:b/>
          <w:bCs/>
          <w:color w:val="0F172A"/>
          <w:sz w:val="22"/>
          <w:szCs w:val="22"/>
        </w:rPr>
        <w:t xml:space="preserve">Sumário executivo</w:t>
      </w:r>
    </w:p>
    <w:p>
      <w:pPr>
        <w:spacing w:after="100"/>
        <w:jc w:val="both"/>
      </w:pPr>
      <w:r>
        <w:rPr>
          <w:b/>
          <w:bCs/>
          <w:color w:val="0F172A"/>
          <w:sz w:val="20"/>
          <w:szCs w:val="20"/>
        </w:rPr>
        <w:t xml:space="preserve">Risco moderado, não terminal — sob uma condição. </w:t>
      </w:r>
      <w:r>
        <w:rPr>
          <w:color w:val="334155"/>
          <w:sz w:val="20"/>
          <w:szCs w:val="20"/>
        </w:rPr>
        <w:t xml:space="preserve">O valor durável do Boardplan nunca esteve no software (formulários, dashboards, automações), e sim na </w:t>
      </w:r>
      <w:r>
        <w:rPr>
          <w:b/>
          <w:bCs/>
          <w:color w:val="0F172A"/>
          <w:sz w:val="20"/>
          <w:szCs w:val="20"/>
        </w:rPr>
        <w:t xml:space="preserve">confiança e distribuição da INEPAD</w:t>
      </w:r>
      <w:r>
        <w:rPr>
          <w:color w:val="334155"/>
          <w:sz w:val="20"/>
          <w:szCs w:val="20"/>
        </w:rPr>
        <w:t xml:space="preserve"> e no papel de </w:t>
      </w:r>
      <w:r>
        <w:rPr>
          <w:b/>
          <w:bCs/>
          <w:color w:val="0F172A"/>
          <w:sz w:val="20"/>
          <w:szCs w:val="20"/>
        </w:rPr>
        <w:t xml:space="preserve">registro oficial e auditável da governança</w:t>
      </w:r>
      <w:r>
        <w:rPr>
          <w:color w:val="334155"/>
          <w:sz w:val="20"/>
          <w:szCs w:val="20"/>
        </w:rPr>
        <w:t xml:space="preserve">. A IA comoditiza justamente a camada de software. A janela estratégica é converter o moat de confiança em um produto </w:t>
      </w:r>
      <w:r>
        <w:rPr>
          <w:b/>
          <w:bCs/>
          <w:color w:val="0F172A"/>
          <w:sz w:val="20"/>
          <w:szCs w:val="20"/>
        </w:rPr>
        <w:t xml:space="preserve">AI-native de “governança feita para você”</w:t>
      </w:r>
      <w:r>
        <w:rPr>
          <w:color w:val="334155"/>
          <w:sz w:val="20"/>
          <w:szCs w:val="20"/>
        </w:rPr>
        <w:t xml:space="preserve">, antes que um concorrente o faça.</w:t>
      </w:r>
    </w:p>
    <w:p>
      <w:pPr>
        <w:spacing w:after="90" w:before="220"/>
      </w:pPr>
      <w:r>
        <w:rPr>
          <w:b/>
          <w:bCs/>
          <w:color w:val="B45309"/>
          <w:sz w:val="22"/>
          <w:szCs w:val="22"/>
        </w:rPr>
        <w:t xml:space="preserve">2.  </w:t>
      </w:r>
      <w:r>
        <w:rPr>
          <w:b/>
          <w:bCs/>
          <w:color w:val="0F172A"/>
          <w:sz w:val="22"/>
          <w:szCs w:val="22"/>
        </w:rPr>
        <w:t xml:space="preserve">A tese em foco</w:t>
      </w:r>
    </w:p>
    <w:p>
      <w:pPr>
        <w:spacing w:after="100"/>
        <w:jc w:val="both"/>
      </w:pPr>
      <w:r>
        <w:rPr>
          <w:color w:val="334155"/>
          <w:sz w:val="20"/>
          <w:szCs w:val="20"/>
        </w:rPr>
        <w:t xml:space="preserve">O chamado “SaaS apocalypse” sustenta que a IA (a) derruba o custo de </w:t>
      </w:r>
      <w:r>
        <w:rPr>
          <w:b/>
          <w:bCs/>
          <w:color w:val="0F172A"/>
          <w:sz w:val="20"/>
          <w:szCs w:val="20"/>
        </w:rPr>
        <w:t xml:space="preserve">construir</w:t>
      </w:r>
      <w:r>
        <w:rPr>
          <w:color w:val="334155"/>
          <w:sz w:val="20"/>
          <w:szCs w:val="20"/>
        </w:rPr>
        <w:t xml:space="preserve"> software e (b) passa a </w:t>
      </w:r>
      <w:r>
        <w:rPr>
          <w:b/>
          <w:bCs/>
          <w:color w:val="0F172A"/>
          <w:sz w:val="20"/>
          <w:szCs w:val="20"/>
        </w:rPr>
        <w:t xml:space="preserve">executar</w:t>
      </w:r>
      <w:r>
        <w:rPr>
          <w:color w:val="334155"/>
          <w:sz w:val="20"/>
          <w:szCs w:val="20"/>
        </w:rPr>
        <w:t xml:space="preserve"> o trabalho que o SaaS apenas organizava. Morre o SaaS que é “interface + banco de dados + workflow simples”. Sobrevive quem detém dado proprietário, profundidade de workflow, integrações, confiança/conformidade e </w:t>
      </w:r>
      <w:r>
        <w:rPr>
          <w:b/>
          <w:bCs/>
          <w:color w:val="0F172A"/>
          <w:sz w:val="20"/>
          <w:szCs w:val="20"/>
        </w:rPr>
        <w:t xml:space="preserve">entrega de resultado</w:t>
      </w:r>
      <w:r>
        <w:rPr>
          <w:color w:val="334155"/>
          <w:sz w:val="20"/>
          <w:szCs w:val="20"/>
        </w:rPr>
        <w:t xml:space="preserve"> — service-as-software, não seat-as-software.</w:t>
      </w:r>
    </w:p>
    <w:p>
      <w:pPr>
        <w:spacing w:after="90" w:before="220"/>
      </w:pPr>
      <w:r>
        <w:rPr>
          <w:b/>
          <w:bCs/>
          <w:color w:val="B45309"/>
          <w:sz w:val="22"/>
          <w:szCs w:val="22"/>
        </w:rPr>
        <w:t xml:space="preserve">3.  </w:t>
      </w:r>
      <w:r>
        <w:rPr>
          <w:b/>
          <w:bCs/>
          <w:color w:val="0F172A"/>
          <w:sz w:val="22"/>
          <w:szCs w:val="22"/>
        </w:rPr>
        <w:t xml:space="preserve">Onde estamos expostos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color w:val="334155"/>
          <w:sz w:val="20"/>
          <w:szCs w:val="20"/>
        </w:rPr>
        <w:t xml:space="preserve">Boa parte do produto é formulário + armazenamento + e-mail + PDF — reconstruível por qualquer desenvolvedor com IA, ou substituível por um agente genérico com acesso a calendário e e-mail.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color w:val="334155"/>
          <w:sz w:val="20"/>
          <w:szCs w:val="20"/>
        </w:rPr>
        <w:t xml:space="preserve">A IA atual é assistiva e rasa (“rascunhar a ata”): é uma feature copiável, não um moat.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color w:val="334155"/>
          <w:sz w:val="20"/>
          <w:szCs w:val="20"/>
        </w:rPr>
        <w:t xml:space="preserve">Frameworks como BSC, OKR e SWOT são públicos; isolados, não defendem posição.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color w:val="334155"/>
          <w:sz w:val="20"/>
          <w:szCs w:val="20"/>
        </w:rPr>
        <w:t xml:space="preserve">Preço por assento/cliente enfraquece à medida que a IA reduz o trabalho humano que o justificava.</w:t>
      </w:r>
    </w:p>
    <w:p>
      <w:pPr>
        <w:spacing w:after="90" w:before="220"/>
      </w:pPr>
      <w:r>
        <w:rPr>
          <w:b/>
          <w:bCs/>
          <w:color w:val="B45309"/>
          <w:sz w:val="22"/>
          <w:szCs w:val="22"/>
        </w:rPr>
        <w:t xml:space="preserve">4.  </w:t>
      </w:r>
      <w:r>
        <w:rPr>
          <w:b/>
          <w:bCs/>
          <w:color w:val="0F172A"/>
          <w:sz w:val="22"/>
          <w:szCs w:val="22"/>
        </w:rPr>
        <w:t xml:space="preserve">Onde somos defensáveis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b/>
          <w:bCs/>
          <w:color w:val="0F172A"/>
          <w:sz w:val="20"/>
          <w:szCs w:val="20"/>
        </w:rPr>
        <w:t xml:space="preserve">Canal e confiança da INEPAD. </w:t>
      </w:r>
      <w:r>
        <w:rPr>
          <w:color w:val="334155"/>
          <w:sz w:val="20"/>
          <w:szCs w:val="20"/>
        </w:rPr>
        <w:t xml:space="preserve">Governança se vende na credibilidade; um conselho não entrega o registro de suas decisões a um agente genérico. É o moat nº 1.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b/>
          <w:bCs/>
          <w:color w:val="0F172A"/>
          <w:sz w:val="20"/>
          <w:szCs w:val="20"/>
        </w:rPr>
        <w:t xml:space="preserve">Registro oficial e conformidade. </w:t>
      </w:r>
      <w:r>
        <w:rPr>
          <w:color w:val="334155"/>
          <w:sz w:val="20"/>
          <w:szCs w:val="20"/>
        </w:rPr>
        <w:t xml:space="preserve">Ata tem peso jurídico, deliberação tem efeito; há LGPD, responsabilidade fiduciária, auditoria imutável e assinatura digital. Domínio de alto risco eleva a barra de confiança a nosso favor.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b/>
          <w:bCs/>
          <w:color w:val="0F172A"/>
          <w:sz w:val="20"/>
          <w:szCs w:val="20"/>
        </w:rPr>
        <w:t xml:space="preserve">Profundidade vertical. </w:t>
      </w:r>
      <w:r>
        <w:rPr>
          <w:color w:val="334155"/>
          <w:sz w:val="20"/>
          <w:szCs w:val="20"/>
        </w:rPr>
        <w:t xml:space="preserve">Convocação oficial, quórum, votantes elegíveis, RAE e indicadores que comandam alerta e ação na cadência do conselho.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b/>
          <w:bCs/>
          <w:color w:val="0F172A"/>
          <w:sz w:val="20"/>
          <w:szCs w:val="20"/>
        </w:rPr>
        <w:t xml:space="preserve">Multi-empresa. </w:t>
      </w:r>
      <w:r>
        <w:rPr>
          <w:color w:val="334155"/>
          <w:sz w:val="20"/>
          <w:szCs w:val="20"/>
        </w:rPr>
        <w:t xml:space="preserve">Distribuição via consultorias que administram vários conselhos.</w:t>
      </w:r>
    </w:p>
    <w:p>
      <w:pPr>
        <w:spacing w:after="90" w:before="220"/>
      </w:pPr>
      <w:r>
        <w:rPr>
          <w:b/>
          <w:bCs/>
          <w:color w:val="B45309"/>
          <w:sz w:val="22"/>
          <w:szCs w:val="22"/>
        </w:rPr>
        <w:t xml:space="preserve">5.  </w:t>
      </w:r>
      <w:r>
        <w:rPr>
          <w:b/>
          <w:bCs/>
          <w:color w:val="0F172A"/>
          <w:sz w:val="22"/>
          <w:szCs w:val="22"/>
        </w:rPr>
        <w:t xml:space="preserve">Mapa de risco por camada</w:t>
      </w:r>
    </w:p>
    <w:p>
      <w:pPr>
        <w:spacing w:after="100"/>
        <w:jc w:val="both"/>
      </w:pPr>
      <w:r>
        <w:rPr>
          <w:color w:val="334155"/>
          <w:sz w:val="20"/>
          <w:szCs w:val="20"/>
        </w:rPr>
        <w:t xml:space="preserve">Leitura: o topo da tabela (o “app de reunião”) está exposto; o meio-fim (registro, conformidade, dado, canal) concentra o valor durável. Hoje o produto pesa demais no topo.</w:t>
      </w:r>
    </w:p>
    <w:tbl>
      <w:tblPr>
        <w:tblW w:type="dxa" w:w="9026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4626"/>
        <w:gridCol w:w="2200"/>
        <w:gridCol w:w="2200"/>
      </w:tblGrid>
      <w:tr>
        <w:trPr>
          <w:tblHeader/>
        </w:trPr>
        <w:tc>
          <w:tcPr>
            <w:tcW w:type="dxa" w:w="0"/>
            <w:shd w:fill="0F172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Camada do produto</w:t>
            </w:r>
          </w:p>
        </w:tc>
        <w:tc>
          <w:tcPr>
            <w:tcW w:type="dxa" w:w="0"/>
            <w:shd w:fill="0F172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Comoditização por IA</w:t>
            </w:r>
          </w:p>
        </w:tc>
        <w:tc>
          <w:tcPr>
            <w:tcW w:type="dxa" w:w="0"/>
            <w:shd w:fill="0F172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Defensabilidade</w:t>
            </w:r>
          </w:p>
        </w:tc>
      </w:tr>
      <w:tr>
        <w:tc>
          <w:tcPr>
            <w:tcW w:type="dxa" w:w="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Convocação, agenda, lembretes</w:t>
            </w:r>
          </w:p>
        </w:tc>
        <w:tc>
          <w:tcPr>
            <w:tcW w:type="dxa" w:w="0"/>
            <w:shd w:fill="FCE4E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color w:val="0F172A"/>
                <w:sz w:val="18"/>
                <w:szCs w:val="18"/>
              </w:rPr>
              <w:t xml:space="preserve">Alta</w:t>
            </w:r>
          </w:p>
        </w:tc>
        <w:tc>
          <w:tcPr>
            <w:tcW w:type="dxa" w:w="0"/>
            <w:shd w:fill="FCE4E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color w:val="0F172A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Ordem do dia / cronômetro</w:t>
            </w:r>
          </w:p>
        </w:tc>
        <w:tc>
          <w:tcPr>
            <w:tcW w:type="dxa" w:w="0"/>
            <w:shd w:fill="FCE4E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color w:val="0F172A"/>
                <w:sz w:val="18"/>
                <w:szCs w:val="18"/>
              </w:rPr>
              <w:t xml:space="preserve">Alta</w:t>
            </w:r>
          </w:p>
        </w:tc>
        <w:tc>
          <w:tcPr>
            <w:tcW w:type="dxa" w:w="0"/>
            <w:shd w:fill="FCE4E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color w:val="0F172A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Plano de ação (5W2H / Kanban)</w:t>
            </w:r>
          </w:p>
        </w:tc>
        <w:tc>
          <w:tcPr>
            <w:tcW w:type="dxa" w:w="0"/>
            <w:shd w:fill="FEF3C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color w:val="0F172A"/>
                <w:sz w:val="18"/>
                <w:szCs w:val="18"/>
              </w:rPr>
              <w:t xml:space="preserve">Média</w:t>
            </w:r>
          </w:p>
        </w:tc>
        <w:tc>
          <w:tcPr>
            <w:tcW w:type="dxa" w:w="0"/>
            <w:shd w:fill="FEF3C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color w:val="0F172A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Deliberações / votação formal</w:t>
            </w:r>
          </w:p>
        </w:tc>
        <w:tc>
          <w:tcPr>
            <w:tcW w:type="dxa" w:w="0"/>
            <w:shd w:fill="FEF3C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color w:val="0F172A"/>
                <w:sz w:val="18"/>
                <w:szCs w:val="18"/>
              </w:rPr>
              <w:t xml:space="preserve">Média</w:t>
            </w:r>
          </w:p>
        </w:tc>
        <w:tc>
          <w:tcPr>
            <w:tcW w:type="dxa" w:w="0"/>
            <w:shd w:fill="DCFCE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color w:val="0F172A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Atas + assinatura + auditoria</w:t>
            </w:r>
          </w:p>
        </w:tc>
        <w:tc>
          <w:tcPr>
            <w:tcW w:type="dxa" w:w="0"/>
            <w:shd w:fill="FCE4E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color w:val="0F172A"/>
                <w:sz w:val="18"/>
                <w:szCs w:val="18"/>
              </w:rPr>
              <w:t xml:space="preserve">Baixa</w:t>
            </w:r>
          </w:p>
        </w:tc>
        <w:tc>
          <w:tcPr>
            <w:tcW w:type="dxa" w:w="0"/>
            <w:shd w:fill="DCFCE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color w:val="0F172A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Indicadores meta-driven</w:t>
            </w:r>
          </w:p>
        </w:tc>
        <w:tc>
          <w:tcPr>
            <w:tcW w:type="dxa" w:w="0"/>
            <w:shd w:fill="FEF3C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color w:val="0F172A"/>
                <w:sz w:val="18"/>
                <w:szCs w:val="18"/>
              </w:rPr>
              <w:t xml:space="preserve">Média</w:t>
            </w:r>
          </w:p>
        </w:tc>
        <w:tc>
          <w:tcPr>
            <w:tcW w:type="dxa" w:w="0"/>
            <w:shd w:fill="DCFCE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color w:val="0F172A"/>
                <w:sz w:val="18"/>
                <w:szCs w:val="18"/>
              </w:rPr>
              <w:t xml:space="preserve">Alta*</w:t>
            </w:r>
          </w:p>
        </w:tc>
      </w:tr>
      <w:tr>
        <w:tc>
          <w:tcPr>
            <w:tcW w:type="dxa" w:w="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Planejamento BSC / OKR</w:t>
            </w:r>
          </w:p>
        </w:tc>
        <w:tc>
          <w:tcPr>
            <w:tcW w:type="dxa" w:w="0"/>
            <w:shd w:fill="FCE4E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color w:val="0F172A"/>
                <w:sz w:val="18"/>
                <w:szCs w:val="18"/>
              </w:rPr>
              <w:t xml:space="preserve">Alta</w:t>
            </w:r>
          </w:p>
        </w:tc>
        <w:tc>
          <w:tcPr>
            <w:tcW w:type="dxa" w:w="0"/>
            <w:shd w:fill="FCE4E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color w:val="0F172A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Ata por IA (assistiva, hoje)</w:t>
            </w:r>
          </w:p>
        </w:tc>
        <w:tc>
          <w:tcPr>
            <w:tcW w:type="dxa" w:w="0"/>
            <w:shd w:fill="FCE4E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color w:val="0F172A"/>
                <w:sz w:val="18"/>
                <w:szCs w:val="18"/>
              </w:rPr>
              <w:t xml:space="preserve">Alta</w:t>
            </w:r>
          </w:p>
        </w:tc>
        <w:tc>
          <w:tcPr>
            <w:tcW w:type="dxa" w:w="0"/>
            <w:shd w:fill="FEF3C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color w:val="0F172A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Canal INEPAD / multi-empresa</w:t>
            </w:r>
          </w:p>
        </w:tc>
        <w:tc>
          <w:tcPr>
            <w:tcW w:type="dxa" w:w="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0"/>
            <w:shd w:fill="DCFCE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color w:val="0F172A"/>
                <w:sz w:val="18"/>
                <w:szCs w:val="18"/>
              </w:rPr>
              <w:t xml:space="preserve">Muito alta</w:t>
            </w:r>
          </w:p>
        </w:tc>
      </w:tr>
    </w:tbl>
    <w:p>
      <w:pPr>
        <w:spacing w:after="60" w:before="60"/>
      </w:pPr>
      <w:r>
        <w:rPr>
          <w:i/>
          <w:iCs/>
          <w:color w:val="334155"/>
          <w:sz w:val="16"/>
          <w:szCs w:val="16"/>
        </w:rPr>
        <w:t xml:space="preserve">* Alta se ligado a dado proprietário do cliente.</w:t>
      </w:r>
    </w:p>
    <w:p>
      <w:pPr>
        <w:spacing w:after="90" w:before="220"/>
      </w:pPr>
      <w:r>
        <w:rPr>
          <w:b/>
          <w:bCs/>
          <w:color w:val="B45309"/>
          <w:sz w:val="22"/>
          <w:szCs w:val="22"/>
        </w:rPr>
        <w:t xml:space="preserve">6.  </w:t>
      </w:r>
      <w:r>
        <w:rPr>
          <w:b/>
          <w:bCs/>
          <w:color w:val="0F172A"/>
          <w:sz w:val="22"/>
          <w:szCs w:val="22"/>
        </w:rPr>
        <w:t xml:space="preserve">Plano de competitividade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b/>
          <w:bCs/>
          <w:color w:val="0F172A"/>
          <w:sz w:val="20"/>
          <w:szCs w:val="20"/>
        </w:rPr>
        <w:t xml:space="preserve">De assistente a agente que entrega resultado. </w:t>
      </w:r>
      <w:r>
        <w:rPr>
          <w:color w:val="334155"/>
          <w:sz w:val="20"/>
          <w:szCs w:val="20"/>
        </w:rPr>
        <w:t xml:space="preserve">Construir o “Secretário de IA” que monta pauta e convocação, rascunha a ata, gera o follow-up e cobra responsáveis, e prepara a RAE com análise pronta. Vender o ciclo de governança rodado, não a ferramenta.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b/>
          <w:bCs/>
          <w:color w:val="0F172A"/>
          <w:sz w:val="20"/>
          <w:szCs w:val="20"/>
        </w:rPr>
        <w:t xml:space="preserve">Dobrar no moat que a IA não invade. </w:t>
      </w:r>
      <w:r>
        <w:rPr>
          <w:color w:val="334155"/>
          <w:sz w:val="20"/>
          <w:szCs w:val="20"/>
        </w:rPr>
        <w:t xml:space="preserve">Registro oficial, auditável e defensável; conformidade (LGPD, estatuto/regimento); assinatura digital.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b/>
          <w:bCs/>
          <w:color w:val="0F172A"/>
          <w:sz w:val="20"/>
          <w:szCs w:val="20"/>
        </w:rPr>
        <w:t xml:space="preserve">Transformar o dado acumulado em vantagem que compõe. </w:t>
      </w:r>
      <w:r>
        <w:rPr>
          <w:color w:val="334155"/>
          <w:sz w:val="20"/>
          <w:szCs w:val="20"/>
        </w:rPr>
        <w:t xml:space="preserve">Histórico de decisões e indicadores, maturidade de governança e benchmark anônimo entre clientes — com isolamento rigoroso.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b/>
          <w:bCs/>
          <w:color w:val="0F172A"/>
          <w:sz w:val="20"/>
          <w:szCs w:val="20"/>
        </w:rPr>
        <w:t xml:space="preserve">Ser a superfície que os agentes acionam. </w:t>
      </w:r>
      <w:r>
        <w:rPr>
          <w:color w:val="334155"/>
          <w:sz w:val="20"/>
          <w:szCs w:val="20"/>
        </w:rPr>
        <w:t xml:space="preserve">Expor o Boardplan via API/MCP como a ferramenta de governança confiável: backend de registro + skill especializada.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b/>
          <w:bCs/>
          <w:color w:val="0F172A"/>
          <w:sz w:val="20"/>
          <w:szCs w:val="20"/>
        </w:rPr>
        <w:t xml:space="preserve">Integrações profundas. </w:t>
      </w:r>
      <w:r>
        <w:rPr>
          <w:color w:val="334155"/>
          <w:sz w:val="20"/>
          <w:szCs w:val="20"/>
        </w:rPr>
        <w:t xml:space="preserve">Teams/Meet (bot que entra na reunião e gera a ata ao vivo), agenda, WhatsApp, assinatura digital e ingestão de indicadores de ERPs e planilhas.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b/>
          <w:bCs/>
          <w:color w:val="0F172A"/>
          <w:sz w:val="20"/>
          <w:szCs w:val="20"/>
        </w:rPr>
        <w:t xml:space="preserve">Produtizar o canal INEPAD. </w:t>
      </w:r>
      <w:r>
        <w:rPr>
          <w:color w:val="334155"/>
          <w:sz w:val="20"/>
          <w:szCs w:val="20"/>
        </w:rPr>
        <w:t xml:space="preserve">Bundle “Governança as a Service”: software + expertise humana + IA.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b/>
          <w:bCs/>
          <w:color w:val="0F172A"/>
          <w:sz w:val="20"/>
          <w:szCs w:val="20"/>
        </w:rPr>
        <w:t xml:space="preserve">Reprecificar. </w:t>
      </w:r>
      <w:r>
        <w:rPr>
          <w:color w:val="334155"/>
          <w:sz w:val="20"/>
          <w:szCs w:val="20"/>
        </w:rPr>
        <w:t xml:space="preserve">De assento para resultado — por ciclo, por reunião conduzida, por trabalho de IA entregue.</w:t>
      </w:r>
    </w:p>
    <w:p>
      <w:pPr>
        <w:spacing w:after="90" w:before="220"/>
      </w:pPr>
      <w:r>
        <w:rPr>
          <w:b/>
          <w:bCs/>
          <w:color w:val="B45309"/>
          <w:sz w:val="22"/>
          <w:szCs w:val="22"/>
        </w:rPr>
        <w:t xml:space="preserve">7.  </w:t>
      </w:r>
      <w:r>
        <w:rPr>
          <w:b/>
          <w:bCs/>
          <w:color w:val="0F172A"/>
          <w:sz w:val="22"/>
          <w:szCs w:val="22"/>
        </w:rPr>
        <w:t xml:space="preserve">Aposta central</w:t>
      </w:r>
    </w:p>
    <w:p>
      <w:pPr>
        <w:spacing w:after="100"/>
        <w:jc w:val="both"/>
      </w:pPr>
      <w:r>
        <w:rPr>
          <w:color w:val="334155"/>
          <w:sz w:val="20"/>
          <w:szCs w:val="20"/>
        </w:rPr>
        <w:t xml:space="preserve">Deixar de ser “o aplicativo que organiza a reunião do conselho” e tornar-se </w:t>
      </w:r>
      <w:r>
        <w:rPr>
          <w:b/>
          <w:bCs/>
          <w:color w:val="0F172A"/>
          <w:sz w:val="20"/>
          <w:szCs w:val="20"/>
        </w:rPr>
        <w:t xml:space="preserve">“o copiloto de governança que conduz o conselho e guarda o registro oficial em que se pode confiar”</w:t>
      </w:r>
      <w:r>
        <w:rPr>
          <w:color w:val="334155"/>
          <w:sz w:val="20"/>
          <w:szCs w:val="20"/>
        </w:rPr>
        <w:t xml:space="preserve">. O software passa a ser o registro confiável e a superfície de agente; o valor vendido é o </w:t>
      </w:r>
      <w:r>
        <w:rPr>
          <w:b/>
          <w:bCs/>
          <w:color w:val="0F172A"/>
          <w:sz w:val="20"/>
          <w:szCs w:val="20"/>
        </w:rPr>
        <w:t xml:space="preserve">resultado</w:t>
      </w:r>
      <w:r>
        <w:rPr>
          <w:color w:val="334155"/>
          <w:sz w:val="20"/>
          <w:szCs w:val="20"/>
        </w:rPr>
        <w:t xml:space="preserve"> — governança conduzida, rastreável e em conformidade — entregue pela combinação INEPAD + IA.</w:t>
      </w:r>
    </w:p>
    <w:p>
      <w:pPr>
        <w:spacing w:after="90" w:before="220"/>
      </w:pPr>
      <w:r>
        <w:rPr>
          <w:b/>
          <w:bCs/>
          <w:color w:val="B45309"/>
          <w:sz w:val="22"/>
          <w:szCs w:val="22"/>
        </w:rPr>
        <w:t xml:space="preserve">8.  </w:t>
      </w:r>
      <w:r>
        <w:rPr>
          <w:b/>
          <w:bCs/>
          <w:color w:val="0F172A"/>
          <w:sz w:val="22"/>
          <w:szCs w:val="22"/>
        </w:rPr>
        <w:t xml:space="preserve">O que não fazer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color w:val="334155"/>
          <w:sz w:val="20"/>
          <w:szCs w:val="20"/>
        </w:rPr>
        <w:t xml:space="preserve">Não investir mais energia em formulários e dashboards — camada comoditizada, retorno decrescente.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color w:val="334155"/>
          <w:sz w:val="20"/>
          <w:szCs w:val="20"/>
        </w:rPr>
        <w:t xml:space="preserve">Não manter a IA como featurezinha de ata; ou ela vira o núcleo, ou vira commodity.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color w:val="334155"/>
          <w:sz w:val="20"/>
          <w:szCs w:val="20"/>
        </w:rPr>
        <w:t xml:space="preserve">Não competir com agentes genéricos em conveniência; ganhar em confiança, registro e profundidade vertical.</w:t>
      </w:r>
    </w:p>
    <w:p>
      <w:pPr>
        <w:spacing w:after="90" w:before="220"/>
      </w:pPr>
      <w:r>
        <w:rPr>
          <w:b/>
          <w:bCs/>
          <w:color w:val="B45309"/>
          <w:sz w:val="22"/>
          <w:szCs w:val="22"/>
        </w:rPr>
        <w:t xml:space="preserve">9.  </w:t>
      </w:r>
      <w:r>
        <w:rPr>
          <w:b/>
          <w:bCs/>
          <w:color w:val="0F172A"/>
          <w:sz w:val="22"/>
          <w:szCs w:val="22"/>
        </w:rPr>
        <w:t xml:space="preserve">Próximos passos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color w:val="334155"/>
          <w:sz w:val="20"/>
          <w:szCs w:val="20"/>
        </w:rPr>
        <w:t xml:space="preserve">Aprovar a reorientação do roadmap para as camadas de moat.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color w:val="334155"/>
          <w:sz w:val="20"/>
          <w:szCs w:val="20"/>
        </w:rPr>
        <w:t xml:space="preserve">Detalhar o roadmap em três horizontes (30 / 90 / 180 dias).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color w:val="334155"/>
          <w:sz w:val="20"/>
          <w:szCs w:val="20"/>
        </w:rPr>
        <w:t xml:space="preserve">Definir 2–3 métricas de resultado para a nova narrativa de valor (ex.: horas de secretaria economizadas, ciclos de governança conduzidos, % de ações concluídas no prazo).</w:t>
      </w:r>
    </w:p>
    <w:p>
      <w:pPr>
        <w:pBdr>
          <w:top w:val="single" w:color="D97706" w:sz="8" w:space="8"/>
        </w:pBdr>
        <w:spacing w:before="260"/>
      </w:pPr>
      <w:r>
        <w:rPr>
          <w:i/>
          <w:iCs/>
          <w:color w:val="334155"/>
          <w:sz w:val="16"/>
          <w:szCs w:val="16"/>
        </w:rPr>
        <w:t xml:space="preserve">Boardplan · INEPAD Governança e Sucessão — documento confidencial de uso interno.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2026-07-22T17:31:17.866Z</dcterms:created>
  <dcterms:modified xsi:type="dcterms:W3CDTF">2026-07-22T17:31:17.869Z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