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B45309"/>
          <w:spacing w:val="40"/>
          <w:sz w:val="16"/>
          <w:szCs w:val="16"/>
        </w:rPr>
        <w:t xml:space="preserve">Plano de Execução · Confidencial — Uso Interno</w:t>
      </w:r>
    </w:p>
    <w:p>
      <w:pPr>
        <w:spacing w:after="40"/>
      </w:pPr>
      <w:r>
        <w:rPr>
          <w:b/>
          <w:bCs/>
          <w:i/>
          <w:iCs/>
          <w:color w:val="0F172A"/>
          <w:sz w:val="40"/>
          <w:szCs w:val="40"/>
        </w:rPr>
        <w:t xml:space="preserve">Roadmap de Competitividade</w:t>
      </w:r>
    </w:p>
    <w:p>
      <w:pPr>
        <w:pBdr>
          <w:bottom w:val="single" w:color="D97706" w:sz="12" w:space="8"/>
        </w:pBdr>
        <w:spacing w:after="160"/>
      </w:pPr>
      <w:r>
        <w:rPr>
          <w:color w:val="334155"/>
          <w:sz w:val="22"/>
          <w:szCs w:val="22"/>
        </w:rPr>
        <w:t xml:space="preserve">Três horizontes (30 / 90 / 180 dias) — do app de reunião ao copiloto de governança</w:t>
      </w:r>
    </w:p>
    <w:p>
      <w:pPr>
        <w:spacing w:after="100"/>
        <w:jc w:val="both"/>
      </w:pPr>
      <w:r>
        <w:rPr>
          <w:b/>
          <w:bCs/>
          <w:color w:val="0F172A"/>
          <w:sz w:val="20"/>
          <w:szCs w:val="20"/>
        </w:rPr>
        <w:t xml:space="preserve">Princípio. </w:t>
      </w:r>
      <w:r>
        <w:rPr>
          <w:color w:val="334155"/>
          <w:sz w:val="20"/>
          <w:szCs w:val="20"/>
        </w:rPr>
        <w:t xml:space="preserve">Cada iniciativa se apoia em algo que o Boardplan </w:t>
      </w:r>
      <w:r>
        <w:rPr>
          <w:b/>
          <w:bCs/>
          <w:color w:val="0F172A"/>
          <w:sz w:val="20"/>
          <w:szCs w:val="20"/>
        </w:rPr>
        <w:t xml:space="preserve">já tem</w:t>
      </w:r>
      <w:r>
        <w:rPr>
          <w:color w:val="334155"/>
          <w:sz w:val="20"/>
          <w:szCs w:val="20"/>
        </w:rPr>
        <w:t xml:space="preserve"> — para máxima velocidade e menor custo. Cada horizonte fecha com uma </w:t>
      </w:r>
      <w:r>
        <w:rPr>
          <w:b/>
          <w:bCs/>
          <w:color w:val="0F172A"/>
          <w:sz w:val="20"/>
          <w:szCs w:val="20"/>
        </w:rPr>
        <w:t xml:space="preserve">prova</w:t>
      </w:r>
      <w:r>
        <w:rPr>
          <w:color w:val="334155"/>
          <w:sz w:val="20"/>
          <w:szCs w:val="20"/>
        </w:rPr>
        <w:t xml:space="preserve"> (piloto → aprendizado → escala) antes de avançar. O foco sai dos formulários e dashboards (camada comoditizada) e vai para as camadas de moat: agente, registro/conformidade, dado e canal.</w:t>
      </w:r>
    </w:p>
    <w:p>
      <w:pPr>
        <w:spacing w:after="60" w:before="60"/>
      </w:pPr>
      <w:r>
        <w:rPr>
          <w:b/>
          <w:bCs/>
          <w:color w:val="0F172A"/>
          <w:sz w:val="20"/>
          <w:szCs w:val="20"/>
        </w:rPr>
        <w:t xml:space="preserve">As 7 apostas (referência):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1 </w:t>
      </w:r>
      <w:r>
        <w:rPr>
          <w:color w:val="334155"/>
          <w:sz w:val="20"/>
          <w:szCs w:val="20"/>
        </w:rPr>
        <w:t xml:space="preserve">Agente que entrega resultado  ·  </w:t>
      </w:r>
      <w:r>
        <w:rPr>
          <w:b/>
          <w:bCs/>
          <w:color w:val="0F172A"/>
          <w:sz w:val="20"/>
          <w:szCs w:val="20"/>
        </w:rPr>
        <w:t xml:space="preserve">2 </w:t>
      </w:r>
      <w:r>
        <w:rPr>
          <w:color w:val="334155"/>
          <w:sz w:val="20"/>
          <w:szCs w:val="20"/>
        </w:rPr>
        <w:t xml:space="preserve">Registro oficial &amp; conformidade  ·  </w:t>
      </w:r>
      <w:r>
        <w:rPr>
          <w:b/>
          <w:bCs/>
          <w:color w:val="0F172A"/>
          <w:sz w:val="20"/>
          <w:szCs w:val="20"/>
        </w:rPr>
        <w:t xml:space="preserve">3 </w:t>
      </w:r>
      <w:r>
        <w:rPr>
          <w:color w:val="334155"/>
          <w:sz w:val="20"/>
          <w:szCs w:val="20"/>
        </w:rPr>
        <w:t xml:space="preserve">Dado que compõe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4 </w:t>
      </w:r>
      <w:r>
        <w:rPr>
          <w:color w:val="334155"/>
          <w:sz w:val="20"/>
          <w:szCs w:val="20"/>
        </w:rPr>
        <w:t xml:space="preserve">Superfície que os agentes acionam  ·  </w:t>
      </w:r>
      <w:r>
        <w:rPr>
          <w:b/>
          <w:bCs/>
          <w:color w:val="0F172A"/>
          <w:sz w:val="20"/>
          <w:szCs w:val="20"/>
        </w:rPr>
        <w:t xml:space="preserve">5 </w:t>
      </w:r>
      <w:r>
        <w:rPr>
          <w:color w:val="334155"/>
          <w:sz w:val="20"/>
          <w:szCs w:val="20"/>
        </w:rPr>
        <w:t xml:space="preserve">Integrações profundas  ·  </w:t>
      </w:r>
      <w:r>
        <w:rPr>
          <w:b/>
          <w:bCs/>
          <w:color w:val="0F172A"/>
          <w:sz w:val="20"/>
          <w:szCs w:val="20"/>
        </w:rPr>
        <w:t xml:space="preserve">6 </w:t>
      </w:r>
      <w:r>
        <w:rPr>
          <w:color w:val="334155"/>
          <w:sz w:val="20"/>
          <w:szCs w:val="20"/>
        </w:rPr>
        <w:t xml:space="preserve">Produtizar o canal INEPAD  ·  </w:t>
      </w:r>
      <w:r>
        <w:rPr>
          <w:b/>
          <w:bCs/>
          <w:color w:val="0F172A"/>
          <w:sz w:val="20"/>
          <w:szCs w:val="20"/>
        </w:rPr>
        <w:t xml:space="preserve">7 </w:t>
      </w:r>
      <w:r>
        <w:rPr>
          <w:color w:val="334155"/>
          <w:sz w:val="20"/>
          <w:szCs w:val="20"/>
        </w:rPr>
        <w:t xml:space="preserve">Reprecificar (valor, não assento)</w:t>
      </w:r>
    </w:p>
    <w:p>
      <w:pPr>
        <w:pBdr>
          <w:left w:val="single" w:color="D97706" w:sz="24" w:space="8"/>
        </w:pBdr>
        <w:shd w:fill="DCFCE7" w:val="clear"/>
        <w:spacing w:after="100" w:before="240"/>
      </w:pPr>
      <w:r>
        <w:rPr>
          <w:b/>
          <w:bCs/>
          <w:color w:val="B45309"/>
          <w:sz w:val="22"/>
          <w:szCs w:val="22"/>
        </w:rPr>
        <w:t xml:space="preserve">  Horizonte 1 — 30 dias   </w:t>
      </w:r>
      <w:r>
        <w:rPr>
          <w:b/>
          <w:bCs/>
          <w:color w:val="0F172A"/>
          <w:sz w:val="22"/>
          <w:szCs w:val="22"/>
        </w:rPr>
        <w:t xml:space="preserve">Fundação &amp; quick wins</w:t>
      </w:r>
    </w:p>
    <w:p>
      <w:pPr>
        <w:spacing w:after="100"/>
        <w:jc w:val="both"/>
      </w:pPr>
      <w:r>
        <w:rPr>
          <w:color w:val="334155"/>
          <w:sz w:val="20"/>
          <w:szCs w:val="20"/>
        </w:rPr>
        <w:t xml:space="preserve">Provar a nova direção com entregas rápidas sobre ativos existentes e preparar a narrativa comercial.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300"/>
        <w:gridCol w:w="760"/>
        <w:gridCol w:w="2540"/>
        <w:gridCol w:w="2426"/>
      </w:tblGrid>
      <w:tr>
        <w:trPr>
          <w:tblHeader/>
        </w:trPr>
        <w:tc>
          <w:tcPr>
            <w:tcW w:type="dxa" w:w="0"/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Iniciativa</w:t>
            </w:r>
          </w:p>
        </w:tc>
        <w:tc>
          <w:tcPr>
            <w:tcW w:type="dxa" w:w="0"/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Aposta</w:t>
            </w:r>
          </w:p>
        </w:tc>
        <w:tc>
          <w:tcPr>
            <w:tcW w:type="dxa" w:w="0"/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Sobre o que já existe</w:t>
            </w:r>
          </w:p>
        </w:tc>
        <w:tc>
          <w:tcPr>
            <w:tcW w:type="dxa" w:w="0"/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Métrica de sucesso</w:t>
            </w:r>
          </w:p>
        </w:tc>
      </w:tr>
      <w:tr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Pauta automática da próxima reunião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RAE já gera pauta; ações, indicadores e pendências já são dados do sistema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Rascunho de pauta gerado em 1 cliente-piloto</w:t>
            </w:r>
          </w:p>
        </w:tc>
      </w:tr>
      <w:tr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Narrativa do “registro oficial confiável”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Auditoria imutável + assinatura digital (ClickSign)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Discurso de valor pronto para vendas</w:t>
            </w:r>
          </w:p>
        </w:tc>
      </w:tr>
      <w:tr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Padrão de captação Teams/Meet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1 · 5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Ata por IA (draft-minutes) já em produção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Guia + checklist entregues aos clientes</w:t>
            </w:r>
          </w:p>
        </w:tc>
      </w:tr>
      <w:tr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Instrumentar métricas de resultado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Plano de ação já registra prazos e status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Painel interno: horas economizadas e % no prazo</w:t>
            </w:r>
          </w:p>
        </w:tc>
      </w:tr>
      <w:tr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Pacotes de valor (hipótese de preço)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6 · 7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Multi-empresa e add-ons (ClickSign, Estratégia)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2–3 pacotes por valor, não por assento</w:t>
            </w:r>
          </w:p>
        </w:tc>
      </w:tr>
      <w:tr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Pitch “Governança as a Service”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Canal INEPAD + deck de vendas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Deck aprovado + 1 apresentação-teste</w:t>
            </w:r>
          </w:p>
        </w:tc>
      </w:tr>
    </w:tbl>
    <w:p>
      <w:pPr>
        <w:pBdr>
          <w:left w:val="single" w:color="D97706" w:sz="24" w:space="8"/>
        </w:pBdr>
        <w:shd w:fill="FEF3C7" w:val="clear"/>
        <w:spacing w:after="100" w:before="240"/>
      </w:pPr>
      <w:r>
        <w:rPr>
          <w:b/>
          <w:bCs/>
          <w:color w:val="B45309"/>
          <w:sz w:val="22"/>
          <w:szCs w:val="22"/>
        </w:rPr>
        <w:t xml:space="preserve">  Horizonte 2 — 90 dias   </w:t>
      </w:r>
      <w:r>
        <w:rPr>
          <w:b/>
          <w:bCs/>
          <w:color w:val="0F172A"/>
          <w:sz w:val="22"/>
          <w:szCs w:val="22"/>
        </w:rPr>
        <w:t xml:space="preserve">Agente &amp; profundidade</w:t>
      </w:r>
    </w:p>
    <w:p>
      <w:pPr>
        <w:spacing w:after="100"/>
        <w:jc w:val="both"/>
      </w:pPr>
      <w:r>
        <w:rPr>
          <w:color w:val="334155"/>
          <w:sz w:val="20"/>
          <w:szCs w:val="20"/>
        </w:rPr>
        <w:t xml:space="preserve">Construir o núcleo agêntico (o Secretário de IA) e aprofundar dado e integrações.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300"/>
        <w:gridCol w:w="760"/>
        <w:gridCol w:w="2540"/>
        <w:gridCol w:w="2426"/>
      </w:tblGrid>
      <w:tr>
        <w:trPr>
          <w:tblHeader/>
        </w:trPr>
        <w:tc>
          <w:tcPr>
            <w:tcW w:type="dxa" w:w="0"/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Iniciativa</w:t>
            </w:r>
          </w:p>
        </w:tc>
        <w:tc>
          <w:tcPr>
            <w:tcW w:type="dxa" w:w="0"/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Aposta</w:t>
            </w:r>
          </w:p>
        </w:tc>
        <w:tc>
          <w:tcPr>
            <w:tcW w:type="dxa" w:w="0"/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Sobre o que já existe</w:t>
            </w:r>
          </w:p>
        </w:tc>
        <w:tc>
          <w:tcPr>
            <w:tcW w:type="dxa" w:w="0"/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Métrica de sucesso</w:t>
            </w:r>
          </w:p>
        </w:tc>
      </w:tr>
      <w:tr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Secretário de IA v1 (fluxo assistido ponta a ponta)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draft-minutes + pauta automática + lembrete semanal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≥3 ciclos conduzidos com IA</w:t>
            </w:r>
          </w:p>
        </w:tc>
      </w:tr>
      <w:tr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Cobrança inteligente de responsáveis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1 · 5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Lembrete semanal (já corrigido)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Queda no atraso médio das ações</w:t>
            </w:r>
          </w:p>
        </w:tc>
      </w:tr>
      <w:tr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WhatsApp para lembretes e convocação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E-mails e convites .ics já implementados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Canal WhatsApp em piloto (Brasil)</w:t>
            </w:r>
          </w:p>
        </w:tc>
      </w:tr>
      <w:tr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Ingestão estruturada de indicadores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3 · 5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Link de coleta (collect-readings) já existe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Importação por planilha/CSV em produção</w:t>
            </w:r>
          </w:p>
        </w:tc>
      </w:tr>
      <w:tr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Índice de maturidade de governança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Histórico de reuniões, deliberações e indicadores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Painel de maturidade por cliente</w:t>
            </w:r>
          </w:p>
        </w:tc>
      </w:tr>
      <w:tr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Trilha de conformidade LGPD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Isolamento por cliente + auditoria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Política de retenção + selo documentados</w:t>
            </w:r>
          </w:p>
        </w:tc>
      </w:tr>
    </w:tbl>
    <w:p>
      <w:pPr>
        <w:pBdr>
          <w:left w:val="single" w:color="D97706" w:sz="24" w:space="8"/>
        </w:pBdr>
        <w:shd w:fill="E0E7FF" w:val="clear"/>
        <w:spacing w:after="100" w:before="240"/>
      </w:pPr>
      <w:r>
        <w:rPr>
          <w:b/>
          <w:bCs/>
          <w:color w:val="B45309"/>
          <w:sz w:val="22"/>
          <w:szCs w:val="22"/>
        </w:rPr>
        <w:t xml:space="preserve">  Horizonte 3 — 180 dias   </w:t>
      </w:r>
      <w:r>
        <w:rPr>
          <w:b/>
          <w:bCs/>
          <w:color w:val="0F172A"/>
          <w:sz w:val="22"/>
          <w:szCs w:val="22"/>
        </w:rPr>
        <w:t xml:space="preserve">Plataforma AI-native</w:t>
      </w:r>
    </w:p>
    <w:p>
      <w:pPr>
        <w:spacing w:after="100"/>
        <w:jc w:val="both"/>
      </w:pPr>
      <w:r>
        <w:rPr>
          <w:color w:val="334155"/>
          <w:sz w:val="20"/>
          <w:szCs w:val="20"/>
        </w:rPr>
        <w:t xml:space="preserve">Consolidar os moats estruturais: superfície de agente, vantagem de dado em rede e o novo modelo de negócio.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300"/>
        <w:gridCol w:w="760"/>
        <w:gridCol w:w="2540"/>
        <w:gridCol w:w="2426"/>
      </w:tblGrid>
      <w:tr>
        <w:trPr>
          <w:tblHeader/>
        </w:trPr>
        <w:tc>
          <w:tcPr>
            <w:tcW w:type="dxa" w:w="0"/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Iniciativa</w:t>
            </w:r>
          </w:p>
        </w:tc>
        <w:tc>
          <w:tcPr>
            <w:tcW w:type="dxa" w:w="0"/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Aposta</w:t>
            </w:r>
          </w:p>
        </w:tc>
        <w:tc>
          <w:tcPr>
            <w:tcW w:type="dxa" w:w="0"/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Sobre o que já existe</w:t>
            </w:r>
          </w:p>
        </w:tc>
        <w:tc>
          <w:tcPr>
            <w:tcW w:type="dxa" w:w="0"/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Métrica de sucesso</w:t>
            </w:r>
          </w:p>
        </w:tc>
      </w:tr>
      <w:tr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Secretário de IA v2 (proativo)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Agente v1 + indicadores meta-driven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Alertas com minuta de deliberação pronta</w:t>
            </w:r>
          </w:p>
        </w:tc>
      </w:tr>
      <w:tr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Ata ao vivo (bot na reunião)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1 · 5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draft-minutes (transcrição → ata)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Piloto de ata gerada durante a call</w:t>
            </w:r>
          </w:p>
        </w:tc>
      </w:tr>
      <w:tr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Boardplan via API/MCP (superfície de agente)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Backend de dados e registro estruturado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Skill de governança acionável por assistentes</w:t>
            </w:r>
          </w:p>
        </w:tc>
      </w:tr>
      <w:tr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Benchmark anônimo entre clientes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Base multi-empresa isolada</w:t>
            </w:r>
          </w:p>
        </w:tc>
        <w:tc>
          <w:tcPr>
            <w:tcW w:type="dxa" w:w="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Comparativo de governança (anonimizado)</w:t>
            </w:r>
          </w:p>
        </w:tc>
      </w:tr>
      <w:tr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Lançamento “Governança as a Service”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color w:val="0F172A"/>
                <w:sz w:val="17"/>
                <w:szCs w:val="17"/>
              </w:rPr>
              <w:t xml:space="preserve">6 · 7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Bundle INEPAD + software + IA</w:t>
            </w:r>
          </w:p>
        </w:tc>
        <w:tc>
          <w:tcPr>
            <w:tcW w:type="dxa" w:w="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color w:val="0F172A"/>
                <w:sz w:val="17"/>
                <w:szCs w:val="17"/>
              </w:rPr>
              <w:t xml:space="preserve">Pricing por resultado no mercado</w:t>
            </w:r>
          </w:p>
        </w:tc>
      </w:tr>
    </w:tbl>
    <w:p>
      <w:pPr>
        <w:spacing w:after="90" w:before="240"/>
      </w:pPr>
      <w:r>
        <w:rPr>
          <w:b/>
          <w:bCs/>
          <w:color w:val="0F172A"/>
          <w:sz w:val="22"/>
          <w:szCs w:val="22"/>
        </w:rPr>
        <w:t xml:space="preserve">Como medir o sucesso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Eficiência: </w:t>
      </w:r>
      <w:r>
        <w:rPr>
          <w:color w:val="334155"/>
          <w:sz w:val="20"/>
          <w:szCs w:val="20"/>
        </w:rPr>
        <w:t xml:space="preserve">horas de secretaria economizadas por ciclo de reunião.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Governança: </w:t>
      </w:r>
      <w:r>
        <w:rPr>
          <w:color w:val="334155"/>
          <w:sz w:val="20"/>
          <w:szCs w:val="20"/>
        </w:rPr>
        <w:t xml:space="preserve">% de ações concluídas no prazo e cadência de indicadores dentro da meta.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Adoção do agente: </w:t>
      </w:r>
      <w:r>
        <w:rPr>
          <w:color w:val="334155"/>
          <w:sz w:val="20"/>
          <w:szCs w:val="20"/>
        </w:rPr>
        <w:t xml:space="preserve">nº de ciclos de governança conduzidos com IA.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  <w:color w:val="0F172A"/>
          <w:sz w:val="20"/>
          <w:szCs w:val="20"/>
        </w:rPr>
        <w:t xml:space="preserve">Modelo de negócio: </w:t>
      </w:r>
      <w:r>
        <w:rPr>
          <w:color w:val="334155"/>
          <w:sz w:val="20"/>
          <w:szCs w:val="20"/>
        </w:rPr>
        <w:t xml:space="preserve">receita por resultado (vs. por assento) e retenção de clientes.</w:t>
      </w:r>
    </w:p>
    <w:p>
      <w:pPr>
        <w:spacing w:after="90" w:before="200"/>
      </w:pPr>
      <w:r>
        <w:rPr>
          <w:b/>
          <w:bCs/>
          <w:color w:val="0F172A"/>
          <w:sz w:val="22"/>
          <w:szCs w:val="22"/>
        </w:rPr>
        <w:t xml:space="preserve">Princípios de execução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Prova antes de escala: cada horizonte valida com piloto antes de generalizar.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Construir sobre o que existe: preferir evolução de ativos atuais a começar do zero.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Não voltar ao topo comoditizado: nada de novos formulários/dashboards sem tese de moat.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color w:val="334155"/>
          <w:sz w:val="20"/>
          <w:szCs w:val="20"/>
        </w:rPr>
        <w:t xml:space="preserve">Velocidade como vantagem: time enxuto + desenvolvimento com IA — priorizar foco, não escopo.</w:t>
      </w:r>
    </w:p>
    <w:p>
      <w:pPr>
        <w:pBdr>
          <w:top w:val="single" w:color="D97706" w:sz="8" w:space="8"/>
        </w:pBdr>
        <w:spacing w:before="260"/>
      </w:pPr>
      <w:r>
        <w:rPr>
          <w:i/>
          <w:iCs/>
          <w:color w:val="334155"/>
          <w:sz w:val="16"/>
          <w:szCs w:val="16"/>
        </w:rPr>
        <w:t xml:space="preserve">Boardplan · INEPAD Governança e Sucessão — documento confidencial de uso interno. Complementa o Memorando Estratégico.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2026-07-22T17:46:36.647Z</dcterms:created>
  <dcterms:modified xsi:type="dcterms:W3CDTF">2026-07-22T17:46:36.648Z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