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Ligação single plate</w:t>
      </w:r>
    </w:p>
    <w:p>
      <w:r>
        <w:t>W 360 x 39,0 → W 410 x 38,8 | Alma da viga de apoio</w:t>
      </w:r>
    </w:p>
    <w:p>
      <w:r>
        <w:rPr>
          <w:b/>
        </w:rPr>
        <w:t>VERIFICAÇÃO INCOMPLETA</w:t>
      </w:r>
      <w:r>
        <w:t xml:space="preserve"> · índice determinante 0,930 · Apoio — hierarquia contra punção</w:t>
      </w:r>
    </w:p>
    <w:p>
      <w:r>
        <w:t>Conclusão condicionada às pendências abaixo. Este documento não aprova os estados limite ainda não verificados.</w:t>
      </w:r>
    </w:p>
    <w:p>
      <w:r>
        <w:t>Confirmar contenção eficaz contra rotação longitudinal da viga. A V1 calcula o momento de excentricidade transversal, mas a estabilidade do conjunto sem essa contenção ainda não está validada.</w:t>
      </w:r>
    </w:p>
    <w:p>
      <w:r>
        <w:t>A flexão fora do plano da alma da viga de apoio sob a tração N ainda exige verificação específica. As verificações de corte local não a substituem.</w:t>
      </w:r>
    </w:p>
    <w:p>
      <w:r>
        <w:drawing>
          <wp:inline xmlns:a="http://schemas.openxmlformats.org/drawingml/2006/main" xmlns:pic="http://schemas.openxmlformats.org/drawingml/2006/picture">
            <wp:extent cx="6446520" cy="364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4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160,00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 = 120; g = 80;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353/128/6.5/10.7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399/140/6.4/8.8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uma coluna de parafusos; soldagem em oficina; e = a = 120,00 mm. Excentricidade vertical de N: eN = 0,00 mm. M = |V|a + |N·eN|. Contenção longitudinal da viga: não confirmada.</w:t>
      </w:r>
    </w:p>
    <w:p>
      <w:r>
        <w:t>Posição da chapa: topo a 66,50 mm do topo da viga.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II.A-17B, II.A-18 e II.A-19B. Carini, Ligações Flexíveis: p.32–43. Procedimentos complementares AISC/SCI identificados por verificação, com resistências e coeficientes explicitados.</w:t>
      </w:r>
    </w:p>
    <w:p>
      <w:r>
        <w:t>Versão 0.1: tração axial e cortante no plano; uma viga; sem fadiga, atrito, ação cíclica, incêndio ou dimensionamento de enrijecedores. Recortes e apoio em alma sob N permanecem condicionados às verificações externas indicadas. A força mínima é avaliada pela resultante; combinações de ações e exigências globais de integridade são externas.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0,548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0,560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0,257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53.044,58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28.532,55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36,90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73,80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0,669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54.036,80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hierarquia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8,53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0,930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Índices de interação são avaliados diretamente contra 1,0 e não representam um multiplicador linear da carga. Valores internos não são arredondados para decidir o atendimento.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Fmax = 43229.67 N; α = 0.45; db = 19.05; fub = 830; γa2 = 1.35</w:t>
      </w:r>
    </w:p>
    <w:p>
      <w:pPr>
        <w:keepNext/>
      </w:pPr>
      <w:r>
        <w:t>Resultado: Sd = 4.408,20 kgf; Rd = 8.041,11 kgf; índice = 0,548. Atende.</w:t>
      </w:r>
    </w:p>
    <w:p>
      <w:r>
        <w:t>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29.681 mm; t = 6.5; fu = 450; Fmax = 43229.67 N</w:t>
      </w:r>
    </w:p>
    <w:p>
      <w:pPr>
        <w:keepNext/>
      </w:pPr>
      <w:r>
        <w:t>Resultado: Sd = 4.408,20 kgf; Rd = 7.869,28 kgf; índice = 0,560.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69870.922 mm³; fu = 400; M = |V|a + |N·eN| = 5312897.515 Nmm</w:t>
      </w:r>
    </w:p>
    <w:p>
      <w:pPr>
        <w:keepNext/>
      </w:pPr>
      <w:r>
        <w:t>Resultado: Sd = 541,76 kgf·m; Rd = 2.111,07 kgf·m; índice = 0,257.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ℓ = 140.000; M_BC,Rd = 6659545.455; V_AB,Rd = 48927.273; M_Rd = 13509363.636 Nmm</w:t>
      </w:r>
    </w:p>
    <w:p>
      <w:pPr>
        <w:keepNext/>
      </w:pPr>
      <w:r>
        <w:t>Resultado: Sd = 0,411 —; Rd = 1,000 —; índice = 0,411.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Carini,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2×361.87785; tp = 7.9375; fy = 250; fu = 400</w:t>
      </w:r>
    </w:p>
    <w:p>
      <w:pPr>
        <w:keepNext/>
      </w:pPr>
      <w:r>
        <w:t>Resultado: Sd = 73,80 kgf/mm; Rd = 110,37 kgf/mm; índice = 0,669.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hierarquia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7.9375 ≤ 6.4×450/(250×1.35) = 8.5333</w:t>
      </w:r>
    </w:p>
    <w:p>
      <w:pPr>
        <w:keepNext/>
      </w:pPr>
      <w:r>
        <w:t>Resultado: Sd = 7,94 mm; Rd = 8,53 mm; índice = 0,930. Atende.</w:t>
      </w:r>
    </w:p>
    <w:p>
      <w:r>
        <w:t>Limita a espessura da chapa para que o apoio não governe por punção antes de seu escoamento. Referência: Carini, Ligações Flexíveis p.43, critério conservador SCI/BCSA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v0.1.0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