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Verificações parciais da chapa entre mesas</w:t>
      </w:r>
    </w:p>
    <w:p>
      <w:r>
        <w:t>Teste recebido — variante entre mesas; verificações parciais</w:t>
      </w:r>
    </w:p>
    <w:p>
      <w:r>
        <w:t>W 360 x 39,0 → W 410 x 38,8 | Alma da viga de apoio</w:t>
      </w:r>
    </w:p>
    <w:p>
      <w:r>
        <w:rPr>
          <w:b/>
        </w:rPr>
        <w:t>VERIFICAÇÃO INCOMPLETA</w:t>
      </w:r>
      <w:r>
        <w:t xml:space="preserve"> · índice resistente máximo 0,211 · Entre mesas — metal-base junto à mesa superior</w:t>
      </w:r>
    </w:p>
    <w:p>
      <w:r>
        <w:t>Conclusão condicionada às pendências de escopo registradas abaixo. Os estados limite ainda não verificados não estão aprovados.</w:t>
      </w:r>
    </w:p>
    <w:p>
      <w:r>
        <w:t>SEM APROVAÇÃO DA LIGAÇÃO. Calculados somente o grupo elástico de soldas, o metal-base local e condições de compacidade. Esses índices não verificam os parafusos, a estabilidade acoplada, a capacidade de rotação ou as forças e soldas do enrijecedor oposto.</w:t>
      </w:r>
    </w:p>
    <w:p>
      <w:r>
        <w:drawing>
          <wp:inline xmlns:a="http://schemas.openxmlformats.org/drawingml/2006/main" xmlns:pic="http://schemas.openxmlformats.org/drawingml/2006/picture">
            <wp:extent cx="6446520" cy="358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recortada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Aba: 160,00 × 220,00 mm; t =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Alma: w = 5,00 mm; mesas: w = 5,00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MPa; grupo elástico isolado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 = 381,40; bᵣ = 60,00; c = 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Alívios a 45°; chapa soldada à alma e mesas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120,00 mm. Excentricidade vertical de N: eN = 0,00 mm. Referência geométrica: M = |V|e + |N·eN|. Contenção longitudinal da viga: não confirmada.</w:t>
      </w:r>
    </w:p>
    <w:p>
      <w:r>
        <w:t>Posição z = 66,50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Chapas estendidas: Muir e Hewitt, Engineering Journal 46(2), 2009, p.67–80; Thornton e Fortney, Engineering Journal 48(2), 2011; Motallebi, Lignos e Rogers, Journal of Constructional Steel Research 148, 2018, p.336–350. Referências para delimitação do modelo e condição de compacidade; não constituem validação desta variante na versão atual.</w:t>
      </w:r>
    </w:p>
    <w:p>
      <w:r>
        <w:t>Versão 0.4.0-rc1, candidata em validação: uma viga, tração axial e cortante no plano. A chapa entre mesas possui apenas verificações parciais. Não inclui fadiga, atrito, ações cíclicas ou incêndio. O mínimo normativo é avaliado pela resultante; a análise global das barras é externa.</w:t>
      </w:r>
    </w:p>
    <w:p>
      <w:pPr>
        <w:pStyle w:val="Heading2"/>
      </w:pPr>
      <w:r>
        <w:t>Pendências de escopo</w:t>
      </w:r>
    </w:p>
    <w:p>
      <w:r>
        <w:t>Chapa entre mesas: calculados apenas o grupo elástico de soldas, o metal-base junto às soldas e a compacidade. Não estão validados a distribuição real entre alma e mesas, a estabilidade acoplada, os parafusos e a chapa sob essa distribuição, a rotação e as forças no enrijecedor oposto. O resultado não aprova esta variante.</w:t>
      </w:r>
    </w:p>
    <w:p>
      <w:r>
        <w:t>Confirmar contenção eficaz contra rotação longitudinal da viga. O app calcula o momento de excentricidade transversal, mas a estabilidade do conjunto sem essa contenção ainda não está validada.</w:t>
      </w:r>
    </w:p>
    <w:p>
      <w:pPr>
        <w:pStyle w:val="Heading1"/>
      </w:pPr>
      <w:r>
        <w:t>Resumo dos componentes isolados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solda à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26,37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215,56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0,122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metal-base junto à alma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19,01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0,172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solda à mesa superior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32,32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215,56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metal-base junto à mesa superior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23,30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0,211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solda à mesa inferior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30,85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215,56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metal-base junto à mesa inferior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22,24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Entre mesas — esbeltez do trecho enrijecedor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7,559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12,649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0,598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não elimina as pendências descritas.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Entre mesas — solda à mesa superior</w:t>
      </w:r>
    </w:p>
    <w:p>
      <w:pPr>
        <w:keepNext/>
        <w:spacing w:after="80"/>
      </w:pPr>
      <m:oMath>
        <m:r>
          <m:t>τ = </m:t>
        </m:r>
        <m:rad>
          <m:radPr>
            <m:degHide m:val="1"/>
          </m:radPr>
          <m:deg/>
          <m:e>
            <m:sSup>
              <m:e>
                <m:r>
                  <m:t>(</m:t>
                </m:r>
                <m:f>
                  <m:num>
                    <m:r>
                      <m:t>N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den>
                </m:f>
                <m:r>
                  <m:t> − </m:t>
                </m:r>
                <m:f>
                  <m:num>
                    <m:r>
                      <m:t>My</m:t>
                    </m:r>
                  </m:num>
                  <m:den>
                    <m:sSub>
                      <m:e>
                        <m:r>
                          <m:t>J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(</m:t>
                </m:r>
                <m:f>
                  <m:num>
                    <m:r>
                      <m:t>V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den>
                </m:f>
                <m:r>
                  <m:t> + </m:t>
                </m:r>
                <m:f>
                  <m:num>
                    <m:r>
                      <m:t>Mx</m:t>
                    </m:r>
                  </m:num>
                  <m:den>
                    <m:sSub>
                      <m:e>
                        <m:r>
                          <m:t>J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 ≤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w2</m:t>
                </m:r>
              </m:sub>
            </m:sSub>
          </m:den>
        </m:f>
      </m:oMath>
    </w:p>
    <w:p>
      <w:pPr>
        <w:keepNext/>
      </w:pPr>
      <w:r>
        <w:t>Aw=2979,7480 mm²; xG=7,5937; yG=199,5000; Jw=44828067,3075 mm⁴; L=40,0000; w=5; N=8049,845; |V|=44274,146 N; M−=-4791544,947; M+=5161837,804 Nmm; τmax=32,32076 MPa</w:t>
      </w:r>
    </w:p>
    <w:p>
      <w:pPr>
        <w:keepNext/>
      </w:pPr>
      <w:r>
        <w:t>Resultado: Sd = 32,32 MPa; Rd = 215,56 MPa; índice = 0,150. Atende.</w:t>
      </w:r>
    </w:p>
    <w:p>
      <w:r>
        <w:t>Aw: soma das áreas de garganta; Jw: inércia polar das gargantas; x,y: coordenadas relativas ao centroide G. M±=±|V|(e−xG)−N(yN−yG), com yN no eixo da viga; e é a distância ao centro do grupo de parafusos. Dois filetes por segmento; alívios sem solda. Modelo elástico isolado, sem crédito do enrijecedor oposto; distribuição real chapa/alma/mesas e rotação ainda exigem validação. Referência: NBR 8800:2024, 6.2.5/tabela 9; grupo elástico de linhas</w:t>
      </w:r>
    </w:p>
    <w:p>
      <w:pPr>
        <w:pStyle w:val="Heading2"/>
        <w:keepNext/>
      </w:pPr>
      <w:r>
        <w:t>Entre mesas — metal-base junto à mesa superior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Sd</m:t>
            </m:r>
          </m:sub>
        </m:sSub>
        <m:r>
          <m:t> ≤ min(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u,p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y,s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qSd=228,54229; qRd=1082,38636 N/mm; ts=8,8; tp=7,9375</w:t>
      </w:r>
    </w:p>
    <w:p>
      <w:pPr>
        <w:keepNext/>
      </w:pPr>
      <w:r>
        <w:t>Resultado: Sd = 23,30 kgf/mm; Rd = 110,37 kgf/mm; índice = 0,211. Atende.</w:t>
      </w:r>
    </w:p>
    <w:p>
      <w:r>
        <w:t>Duas gargantas transferem a resultante para o metal-base. Critério local conservador de cisalhamento; não cobre a estabilidade do trecho entre mesas ou flexão da alma do apoio. Referência: NBR 8800:2024, 6.5.5; resultante local no grupo elástico</w:t>
      </w:r>
    </w:p>
    <w:p>
      <w:pPr>
        <w:pStyle w:val="Heading2"/>
        <w:keepNext/>
      </w:pPr>
      <w:r>
        <w:t>Entre mesas — esbeltez do trecho enrijecedor</w:t>
      </w:r>
    </w:p>
    <w:p>
      <w:pPr>
        <w:keepNext/>
        <w:spacing w:after="80"/>
      </w:pPr>
      <m:oMath>
        <m:f>
          <m:num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den>
        </m:f>
        <m:r>
          <m:t> ≤ </m:t>
        </m:r>
        <m:f>
          <m:num>
            <m:r>
              <m:t>200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</m:e>
            </m:rad>
          </m:den>
        </m:f>
      </m:oMath>
    </w:p>
    <w:p>
      <w:pPr>
        <w:keepNext/>
      </w:pPr>
      <w:r>
        <w:t>br=60; tp=7,9375; br/tp=7,55906; limite=12,64911</w:t>
      </w:r>
    </w:p>
    <w:p>
      <w:pPr>
        <w:keepNext/>
      </w:pPr>
      <w:r>
        <w:t>Resultado: Valor = 7,559 —; Limite = 12,649 —; índice = 0,598. Atende.</w:t>
      </w:r>
    </w:p>
    <w:p>
      <w:r>
        <w:t>Condição complementar de compacidade, sem aprovação da resistência ou da capacidade de rotação. Não representa índice de utilização sob a carga aplicada. Referência: Motallebi, Lignos e Rogers (2018), JCSR 148, seção 6; limite CSA citado pelos autores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v0.4.0-rc1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