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1955" w14:textId="77777777" w:rsidR="00231671" w:rsidRPr="00231671" w:rsidRDefault="00231671" w:rsidP="00231671">
      <w:pPr>
        <w:rPr>
          <w:b/>
          <w:bCs/>
        </w:rPr>
      </w:pPr>
      <w:r w:rsidRPr="00231671">
        <w:rPr>
          <w:b/>
          <w:bCs/>
        </w:rPr>
        <w:t>Resultados Preliminares e Proposta do Modelo de Negócios</w:t>
      </w:r>
    </w:p>
    <w:p w14:paraId="0AE5A581" w14:textId="75C41017" w:rsidR="00231671" w:rsidRPr="00231671" w:rsidRDefault="00231671" w:rsidP="00231671">
      <w:pPr>
        <w:rPr>
          <w:b/>
          <w:bCs/>
        </w:rPr>
      </w:pPr>
      <w:r w:rsidRPr="00231671">
        <w:rPr>
          <w:b/>
          <w:bCs/>
        </w:rPr>
        <w:t>1. Aplicação do Modelo em Cenário Real</w:t>
      </w:r>
    </w:p>
    <w:p w14:paraId="270AEE40" w14:textId="6032AE76" w:rsidR="00231671" w:rsidRPr="00231671" w:rsidRDefault="00231671" w:rsidP="006E1287">
      <w:pPr>
        <w:ind w:firstLine="708"/>
      </w:pPr>
      <w:r w:rsidRPr="00231671">
        <w:t xml:space="preserve">O pipeline desenvolvido para a classificação e análise de sentimentos em avaliações textuais de e-commerce emprega técnicas de Processamento de Linguagem Natural fundamentadas em vetorização TF-IDF e no algoritmo de Regressão Logística com ponderação de pesos por classe. Quando submetido ao processamento de dados reais do ecossistema do marketplace </w:t>
      </w:r>
      <w:proofErr w:type="spellStart"/>
      <w:r w:rsidRPr="00231671">
        <w:t>ConectaShop</w:t>
      </w:r>
      <w:proofErr w:type="spellEnd"/>
      <w:r w:rsidRPr="00231671">
        <w:t xml:space="preserve">, extraídos do </w:t>
      </w:r>
      <w:proofErr w:type="spellStart"/>
      <w:r w:rsidRPr="00231671">
        <w:t>dataset</w:t>
      </w:r>
      <w:proofErr w:type="spellEnd"/>
      <w:r w:rsidRPr="00231671">
        <w:t xml:space="preserve"> Olist, o modelo atua no tratamento de entradas textuais desestruturadas </w:t>
      </w:r>
      <w:r>
        <w:t>(</w:t>
      </w:r>
      <w:r w:rsidRPr="00231671">
        <w:t>os comentários de pós-venda deixados pelos consumidores</w:t>
      </w:r>
      <w:r>
        <w:t>)</w:t>
      </w:r>
      <w:r w:rsidRPr="00231671">
        <w:t xml:space="preserve">, transformando-os em saídas analíticas quantificáveis. </w:t>
      </w:r>
    </w:p>
    <w:p w14:paraId="691C7184" w14:textId="033BB9BC" w:rsidR="00692964" w:rsidRDefault="00692964" w:rsidP="006E1287">
      <w:pPr>
        <w:ind w:firstLine="708"/>
      </w:pPr>
      <w:r w:rsidRPr="00692964">
        <w:t xml:space="preserve">Para cada avaliação processada, o modelo gera duas saídas preditivas centrais. Primeiramente, realiza a categorização automática da avaliação nas classes de polaridade negativa para notas um e dois, neutra para a nota três e positiva para as notas quatro e cinco. Em seguida, produz estimativas de probabilidade associadas ao pertencimento do texto à classe negativa, o que viabiliza a ordenação e a priorização dos registros no fluxo analítico. </w:t>
      </w:r>
    </w:p>
    <w:p w14:paraId="11BB555E" w14:textId="17B07F9D" w:rsidR="00231671" w:rsidRPr="00231671" w:rsidRDefault="00231671" w:rsidP="006E1287">
      <w:pPr>
        <w:ind w:firstLine="708"/>
      </w:pPr>
      <w:r w:rsidRPr="00231671">
        <w:t xml:space="preserve">Em termos de desempenho no conjunto de teste composto por 6.980 avaliações, o modelo oficial registrou uma acurácia global de 80,40% e alcançou um F1-score de 80,69% para a classe negativa. O elevado nível de recall nessa categoria, situado em 82,67%, assegura que a grande maioria das manifestações de insatisfação seja identificada com precisão, atendendo às metas de sensibilidade projetadas para a identificação de clientes detratores. </w:t>
      </w:r>
    </w:p>
    <w:p w14:paraId="5AC6B44A" w14:textId="77777777" w:rsidR="00231671" w:rsidRPr="00231671" w:rsidRDefault="00231671" w:rsidP="00231671">
      <w:pPr>
        <w:rPr>
          <w:b/>
          <w:bCs/>
        </w:rPr>
      </w:pPr>
      <w:r w:rsidRPr="00231671">
        <w:rPr>
          <w:b/>
          <w:bCs/>
        </w:rPr>
        <w:t>2. Caracterização do Produto Entregue</w:t>
      </w:r>
    </w:p>
    <w:p w14:paraId="1B35EDCD" w14:textId="5415A908" w:rsidR="003360D5" w:rsidRDefault="00231671" w:rsidP="006E1287">
      <w:pPr>
        <w:ind w:firstLine="708"/>
      </w:pPr>
      <w:r w:rsidRPr="00231671">
        <w:t xml:space="preserve">O produto consiste em uma Solução Preditiva para Monitoramento da Experiência do Cliente, constituída por um Painel Preditivo de </w:t>
      </w:r>
      <w:proofErr w:type="spellStart"/>
      <w:r w:rsidRPr="00231671">
        <w:t>Customer</w:t>
      </w:r>
      <w:proofErr w:type="spellEnd"/>
      <w:r w:rsidRPr="00231671">
        <w:t xml:space="preserve"> Experience e uma API de Alertas de Insatisfação. O produto engloba uma camada de inteligência operável entregue aos gestores e equipes operacionais por meio de dois componentes centrais. O primeiro é o painel executivo e analítico, uma interface visual contendo a distribuição temporal dos índices de satisfação segmentada por categorias de produto, regiões geográficas de destino e parceiros comerciais. </w:t>
      </w:r>
      <w:r w:rsidR="003360D5">
        <w:t xml:space="preserve"> </w:t>
      </w:r>
      <w:r w:rsidR="003360D5" w:rsidRPr="003360D5">
        <w:t xml:space="preserve">A distinção entre a simples classificação retrospectiva e a predição analítica no painel reside na capacidade do sistema de projetar riscos futuros e tendências de comportamento. Enquanto o modelo de Regressão Logística calcula a probabilidade contínua de insatisfação para cada nova entrada textual, o painel preditivo agrega essas probabilidades em janelas temporais dinâmicas e matrizes de risco. Isso permite antecipar quais categorias de produtos, regiões ou parceiros comerciais apresentam maior propensão estatística a gerar detratores </w:t>
      </w:r>
      <w:r w:rsidR="003360D5" w:rsidRPr="003360D5">
        <w:lastRenderedPageBreak/>
        <w:t>nos ciclos seguintes, viabilizando uma gestão proativa e baseada em cenários simulados.</w:t>
      </w:r>
    </w:p>
    <w:p w14:paraId="13FF5D1E" w14:textId="470368F3" w:rsidR="00231671" w:rsidRPr="00231671" w:rsidRDefault="00231671" w:rsidP="006E1287">
      <w:pPr>
        <w:ind w:firstLine="708"/>
      </w:pPr>
      <w:r w:rsidRPr="00231671">
        <w:t xml:space="preserve">O segundo é o módulo de priorização e alerta contínuo, um sistema integrado de fila de atendimento que gera alertas em tempo real sempre que uma avaliação é classificada com elevada probabilidade de insatisfação, viabilizando intervenções preventivas por parte das equipes de </w:t>
      </w:r>
      <w:proofErr w:type="spellStart"/>
      <w:r w:rsidRPr="00231671">
        <w:t>Customer</w:t>
      </w:r>
      <w:proofErr w:type="spellEnd"/>
      <w:r w:rsidRPr="00231671">
        <w:t xml:space="preserve"> </w:t>
      </w:r>
      <w:proofErr w:type="spellStart"/>
      <w:r w:rsidRPr="00231671">
        <w:t>Success</w:t>
      </w:r>
      <w:proofErr w:type="spellEnd"/>
      <w:r w:rsidRPr="00231671">
        <w:t xml:space="preserve">. </w:t>
      </w:r>
    </w:p>
    <w:p w14:paraId="46A40065" w14:textId="77777777" w:rsidR="00231671" w:rsidRPr="00231671" w:rsidRDefault="00231671" w:rsidP="00231671">
      <w:pPr>
        <w:rPr>
          <w:b/>
          <w:bCs/>
        </w:rPr>
      </w:pPr>
      <w:r w:rsidRPr="00231671">
        <w:rPr>
          <w:b/>
          <w:bCs/>
        </w:rPr>
        <w:t>3. Resolução da Dor de Negócio e Beneficiários</w:t>
      </w:r>
    </w:p>
    <w:p w14:paraId="1CAFFAE2" w14:textId="77777777" w:rsidR="00231671" w:rsidRPr="00231671" w:rsidRDefault="00231671" w:rsidP="006E1287">
      <w:pPr>
        <w:ind w:firstLine="708"/>
      </w:pPr>
      <w:r w:rsidRPr="00231671">
        <w:t xml:space="preserve">A solução foi projetada para resolver gargalos críticos recorrentes na gestão de marketplaces </w:t>
      </w:r>
      <w:proofErr w:type="spellStart"/>
      <w:r w:rsidRPr="00231671">
        <w:t>multicategoria</w:t>
      </w:r>
      <w:proofErr w:type="spellEnd"/>
      <w:r w:rsidRPr="00231671">
        <w:t xml:space="preserve">. Ela elimina a limitação de auditorias manuais sobre milhares de comentários diários ao automatizar a triagem de dados não estruturados. Além disso, supera o ponto cego das métricas numéricas puras ao permitir a compreensão qualitativa do motivo real da insatisfação por meio da análise textual, reduzindo o tempo de resposta do negócio na detecção de falhas de transporte, prazos estourados ou desconformidades de catálogo. </w:t>
      </w:r>
    </w:p>
    <w:p w14:paraId="263881ED" w14:textId="77777777" w:rsidR="00231671" w:rsidRPr="00231671" w:rsidRDefault="00231671" w:rsidP="006E1287">
      <w:pPr>
        <w:ind w:firstLine="708"/>
      </w:pPr>
      <w:r w:rsidRPr="00231671">
        <w:t xml:space="preserve">Entre os principais beneficiários, destacam-se os gestores de experiência do cliente e suporte, que obtêm ganhos diretos de eficiência ao direcionar os recursos operacionais aos casos de maior gravidade. Da mesma forma, as equipes de operações e logística passam a dispor de evidências estatísticas para renegociação de prazos e cobrança de desempenho de transportadoras e vendedores parceiros. Por fim, os consumidores finais são beneficiados por um fluxo de pós-venda mais ágil, com resoluções mais rápidas para suas solicitações. </w:t>
      </w:r>
    </w:p>
    <w:p w14:paraId="60DD220F" w14:textId="77777777" w:rsidR="00231671" w:rsidRPr="00231671" w:rsidRDefault="00231671" w:rsidP="00231671">
      <w:pPr>
        <w:rPr>
          <w:b/>
          <w:bCs/>
        </w:rPr>
      </w:pPr>
      <w:r w:rsidRPr="00231671">
        <w:rPr>
          <w:b/>
          <w:bCs/>
        </w:rPr>
        <w:t>4. Proposta de Valor, Fontes de Receita e Modelo de Precificação</w:t>
      </w:r>
    </w:p>
    <w:p w14:paraId="1E7085CC" w14:textId="27FCBE29" w:rsidR="00231671" w:rsidRPr="00231671" w:rsidRDefault="00231671" w:rsidP="006E1287">
      <w:pPr>
        <w:ind w:firstLine="708"/>
      </w:pPr>
      <w:r w:rsidRPr="00231671">
        <w:t>A proposta de valor fundamenta-se na retenção de clientes por meio da redução d</w:t>
      </w:r>
      <w:r w:rsidR="00692964">
        <w:t xml:space="preserve">a </w:t>
      </w:r>
      <w:r w:rsidR="00692964" w:rsidRPr="00692964">
        <w:t xml:space="preserve">taxa de rotatividade </w:t>
      </w:r>
      <w:r w:rsidR="00692964">
        <w:t>e</w:t>
      </w:r>
      <w:r w:rsidR="00692964" w:rsidRPr="00692964">
        <w:t xml:space="preserve"> cancelamento de clientes</w:t>
      </w:r>
      <w:r w:rsidR="00692964">
        <w:t xml:space="preserve"> (</w:t>
      </w:r>
      <w:proofErr w:type="spellStart"/>
      <w:r w:rsidR="00692964" w:rsidRPr="00692964">
        <w:rPr>
          <w:i/>
          <w:iCs/>
        </w:rPr>
        <w:t>churn</w:t>
      </w:r>
      <w:proofErr w:type="spellEnd"/>
      <w:r w:rsidR="00692964">
        <w:t>)</w:t>
      </w:r>
      <w:r w:rsidRPr="00231671">
        <w:t xml:space="preserve">, na diminuição dos custos operacionais de suporte via automação e no aumento do valor do tempo de vida do cliente pela preservação da reputação da marca e do marketplace. O público-alvo pagador engloba plataformas de marketplace, </w:t>
      </w:r>
      <w:proofErr w:type="spellStart"/>
      <w:r w:rsidRPr="00231671">
        <w:t>e-commerces</w:t>
      </w:r>
      <w:proofErr w:type="spellEnd"/>
      <w:r w:rsidRPr="00231671">
        <w:t xml:space="preserve"> B2C de médio e grande porte e redes de varejo </w:t>
      </w:r>
      <w:proofErr w:type="spellStart"/>
      <w:r w:rsidRPr="00BC6330">
        <w:rPr>
          <w:i/>
          <w:iCs/>
        </w:rPr>
        <w:t>omnichannel</w:t>
      </w:r>
      <w:proofErr w:type="spellEnd"/>
      <w:r w:rsidRPr="00231671">
        <w:t xml:space="preserve"> </w:t>
      </w:r>
      <w:r w:rsidR="00BC6330">
        <w:t>(</w:t>
      </w:r>
      <w:r w:rsidR="00BC6330" w:rsidRPr="00BC6330">
        <w:t>operações que integram de forma unificada os canais de vendas físicos e digitai</w:t>
      </w:r>
      <w:r w:rsidR="003360D5">
        <w:t>s</w:t>
      </w:r>
      <w:r w:rsidR="00BC6330">
        <w:t xml:space="preserve">) </w:t>
      </w:r>
      <w:r w:rsidRPr="00231671">
        <w:t xml:space="preserve">que demandam gestão centralizada e automatizada de feedbacks de pós-venda. </w:t>
      </w:r>
    </w:p>
    <w:p w14:paraId="5DC9AF9C" w14:textId="77777777" w:rsidR="00231671" w:rsidRPr="00231671" w:rsidRDefault="00231671" w:rsidP="006E1287">
      <w:pPr>
        <w:ind w:firstLine="708"/>
      </w:pPr>
      <w:r w:rsidRPr="00231671">
        <w:t xml:space="preserve">A estrutura de fontes de receita apoia-se em três pilares. A principal fonte consiste na assinatura recorrente no formato de Software como Serviço B2B, com cobrança contínua pelo acesso à plataforma de monitoramento estruturada em planos fixos baseados no volume de avaliações processadas. A segunda pauta-se no consumo da API preditiva com tarifação por requisição destinada a clientes que optam por integrar o motor preditivo diretamente em seus sistemas proprietários de gestão de relacionamento ou atendimento. A terceira decorre dos serviços profissionais de implantação e customização, gerando receita pontual </w:t>
      </w:r>
      <w:r w:rsidRPr="00231671">
        <w:lastRenderedPageBreak/>
        <w:t xml:space="preserve">advinda do ajuste fino de parâmetros, treinamento de modelos específicos para vocabulários de nicho e integração técnica com as bases de dados dos clientes. </w:t>
      </w:r>
    </w:p>
    <w:p w14:paraId="1D62DEF9" w14:textId="7B68925E" w:rsidR="00231671" w:rsidRPr="00231671" w:rsidRDefault="00231671" w:rsidP="006E1287">
      <w:pPr>
        <w:ind w:firstLine="708"/>
      </w:pPr>
      <w:r w:rsidRPr="00231671">
        <w:t xml:space="preserve">Na estimativa de precificação, o plano Starter destina-se a operações emergentes com volume de até dez mil avaliações mensais pelo valor de mil e quinhentos reais por mês. O plano Growth atende </w:t>
      </w:r>
      <w:proofErr w:type="spellStart"/>
      <w:r w:rsidRPr="00231671">
        <w:t>e-commerces</w:t>
      </w:r>
      <w:proofErr w:type="spellEnd"/>
      <w:r w:rsidRPr="00231671">
        <w:t xml:space="preserve"> em consolidação com capacidade de processamento de até cinquenta mil avaliações mensais e acesso completo à API de integração pelo valor de quatro mil e quinhentos reais por mês. </w:t>
      </w:r>
    </w:p>
    <w:p w14:paraId="3EF9D76C" w14:textId="2EBDC557" w:rsidR="00E60E4F" w:rsidRPr="00231671" w:rsidRDefault="00BC6330" w:rsidP="006E1287">
      <w:pPr>
        <w:ind w:firstLine="708"/>
      </w:pPr>
      <w:r w:rsidRPr="00BC6330">
        <w:t>Por fim, o plano Enterprise direciona-se a grandes marketplaces a partir de dez mil reais por mês, oferecendo volumetria estendida protegida por políticas de uso justo, travas de arquitetura para limitação de requisições simultâneas e garantias formais de nível de serviço (</w:t>
      </w:r>
      <w:proofErr w:type="spellStart"/>
      <w:r w:rsidRPr="00BC6330">
        <w:t>SLAs</w:t>
      </w:r>
      <w:proofErr w:type="spellEnd"/>
      <w:r w:rsidRPr="00BC6330">
        <w:t>) dedicados.</w:t>
      </w:r>
    </w:p>
    <w:sectPr w:rsidR="00E60E4F" w:rsidRPr="00231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71"/>
    <w:rsid w:val="00231671"/>
    <w:rsid w:val="003360D5"/>
    <w:rsid w:val="00692964"/>
    <w:rsid w:val="006E1287"/>
    <w:rsid w:val="00795ED0"/>
    <w:rsid w:val="00876AEB"/>
    <w:rsid w:val="00BC6330"/>
    <w:rsid w:val="00D17307"/>
    <w:rsid w:val="00E60E4F"/>
    <w:rsid w:val="00E61AD0"/>
    <w:rsid w:val="00E9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51803"/>
  <w15:chartTrackingRefBased/>
  <w15:docId w15:val="{8714DCA4-0E8B-4E8A-B658-3B5C0602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1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16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1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16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1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1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16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6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16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16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1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982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Alves</dc:creator>
  <cp:keywords/>
  <dc:description/>
  <cp:lastModifiedBy>Jaqueline Alves</cp:lastModifiedBy>
  <cp:revision>2</cp:revision>
  <dcterms:created xsi:type="dcterms:W3CDTF">2026-10-19T23:47:00Z</dcterms:created>
  <dcterms:modified xsi:type="dcterms:W3CDTF">2026-10-20T00:27:00Z</dcterms:modified>
</cp:coreProperties>
</file>