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8E26" w14:textId="77777777" w:rsidR="00D15033" w:rsidRPr="00082746" w:rsidRDefault="00000000">
      <w:pPr>
        <w:pStyle w:val="Title"/>
        <w:rPr>
          <w:lang w:val="pt-BR"/>
        </w:rPr>
      </w:pPr>
      <w:r w:rsidRPr="00082746">
        <w:rPr>
          <w:lang w:val="pt-BR"/>
        </w:rPr>
        <w:t>Manual Prático ACLS 2025 – Guia para Residentes de Clínica Médica</w:t>
      </w:r>
    </w:p>
    <w:p w14:paraId="14B10626" w14:textId="2F855042" w:rsidR="00D15033" w:rsidRPr="00082746" w:rsidRDefault="00D15033">
      <w:pPr>
        <w:pStyle w:val="FirstParagraph"/>
        <w:rPr>
          <w:lang w:val="pt-BR"/>
        </w:rPr>
      </w:pP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27"/>
        <w:gridCol w:w="4527"/>
      </w:tblGrid>
      <w:tr w:rsidR="00D15033" w14:paraId="5C83D168" w14:textId="77777777" w:rsidTr="00D15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459813" w14:textId="77777777" w:rsidR="00D15033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4442E9F6" wp14:editId="56164CEB">
                  <wp:extent cx="1828800" cy="1003069"/>
                  <wp:effectExtent l="0" t="0" r="0" b="0"/>
                  <wp:docPr id="21" name="Picture" descr="Logo FMUS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logo_fmus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003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6E7FA8E" w14:textId="77777777" w:rsidR="00D15033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3091C94F" wp14:editId="63E4B1CA">
                  <wp:extent cx="1828800" cy="986362"/>
                  <wp:effectExtent l="0" t="0" r="0" b="0"/>
                  <wp:docPr id="24" name="Picture" descr="Logo Medicina Intern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logo_medicina_inte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986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568FC" w14:textId="77777777" w:rsidR="00D15033" w:rsidRPr="00082746" w:rsidRDefault="00000000">
      <w:pPr>
        <w:pStyle w:val="Heading1"/>
        <w:rPr>
          <w:lang w:val="pt-BR"/>
        </w:rPr>
      </w:pPr>
      <w:bookmarkStart w:id="0" w:name="X6816bd777d99d2dcb208b67c16c66b8c733a4a0"/>
      <w:r w:rsidRPr="00082746">
        <w:rPr>
          <w:lang w:val="pt-BR"/>
        </w:rPr>
        <w:t>Manual Prático ACLS 2025 – Guia para Residentes de Clínica Médica</w:t>
      </w:r>
    </w:p>
    <w:p w14:paraId="12995C19" w14:textId="77777777" w:rsidR="00D15033" w:rsidRPr="00082746" w:rsidRDefault="00000000">
      <w:pPr>
        <w:pStyle w:val="Heading2"/>
        <w:rPr>
          <w:lang w:val="pt-BR"/>
        </w:rPr>
      </w:pPr>
      <w:bookmarkStart w:id="1" w:name="capítulo-1-suporte-básico-de-vida-bls"/>
      <w:r w:rsidRPr="00082746">
        <w:rPr>
          <w:lang w:val="pt-BR"/>
        </w:rPr>
        <w:t>Capítulo 1 – Suporte Básico de Vida (BLS)</w:t>
      </w:r>
    </w:p>
    <w:p w14:paraId="206EE8AD" w14:textId="77777777" w:rsidR="00D15033" w:rsidRPr="00082746" w:rsidRDefault="00000000">
      <w:pPr>
        <w:pStyle w:val="FirstParagraph"/>
        <w:rPr>
          <w:lang w:val="pt-BR"/>
        </w:rPr>
      </w:pPr>
      <w:r w:rsidRPr="00082746">
        <w:rPr>
          <w:lang w:val="pt-BR"/>
        </w:rPr>
        <w:t xml:space="preserve">O suporte básico de vida (BLS, do inglês </w:t>
      </w:r>
      <w:r w:rsidRPr="00082746">
        <w:rPr>
          <w:i/>
          <w:iCs/>
          <w:lang w:val="pt-BR"/>
        </w:rPr>
        <w:t>Basic Life Support</w:t>
      </w:r>
      <w:r w:rsidRPr="00082746">
        <w:rPr>
          <w:lang w:val="pt-BR"/>
        </w:rPr>
        <w:t>) é a base para todo atendimento à parada cardiorrespiratória (PCR). Profissionais de saúde devem avaliar a segurança da cena, verificar a responsividade e a respiração e iniciar compressões torácicas imediatamente se a vítima estiver inconsciente e sem respiração normal. As compressões devem ser realizadas ao ritmo de 100–120 por minuto, com profundidade de 5–6 cm e retorno completo do tórax entre compressões. A via aérea deve ser manejada com bolsa‑válvula‑máscara (BVM) sem pausar as compressões, ventilando 30:2 em PCR ou a cada 6 s quando uma via aérea avançada estiver colocada. No ambiente intra‑hospitalar, profissionais devem acionar a equipe de emergência e garantir desfibrilador imediatamente. No cenário extra‑hospitalar, testemunhas devem chamar o serviço de emergência (ex.: 192 no Brasil), iniciar RCP com compressões somente e usar o DEA assim que disponível.</w:t>
      </w:r>
    </w:p>
    <w:p w14:paraId="59E0F429" w14:textId="77777777" w:rsidR="00D1503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7858745" wp14:editId="38A349B1">
            <wp:extent cx="5334000" cy="6902823"/>
            <wp:effectExtent l="0" t="0" r="0" b="0"/>
            <wp:docPr id="27" name="Picture" descr="Algoritmo B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bls_algorith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03B565" w14:textId="77777777" w:rsidR="00D15033" w:rsidRPr="00082746" w:rsidRDefault="00000000">
      <w:pPr>
        <w:pStyle w:val="ImageCaption"/>
        <w:rPr>
          <w:lang w:val="pt-BR"/>
        </w:rPr>
      </w:pPr>
      <w:r w:rsidRPr="00082746">
        <w:rPr>
          <w:lang w:val="pt-BR"/>
        </w:rPr>
        <w:t>Algoritmo BLS</w:t>
      </w:r>
    </w:p>
    <w:p w14:paraId="775297C3" w14:textId="77777777" w:rsidR="00D15033" w:rsidRPr="00082746" w:rsidRDefault="00000000">
      <w:pPr>
        <w:pStyle w:val="BodyText"/>
        <w:rPr>
          <w:lang w:val="pt-BR"/>
        </w:rPr>
      </w:pPr>
      <w:r w:rsidRPr="00082746">
        <w:rPr>
          <w:lang w:val="pt-BR"/>
        </w:rPr>
        <w:t>O fluxograma acima, extraído das Diretrizes AHA 2025, resume as etapas do BLS para adultos. O socorrista avalia a segurança da cena e responsividade, chama ajuda, inicia RCP, aciona um DEA e segue as instruções de choque e reanálise a cada 2 minutos.</w:t>
      </w:r>
      <w:r>
        <w:t>【</w:t>
      </w:r>
      <w:r w:rsidRPr="00082746">
        <w:rPr>
          <w:lang w:val="pt-BR"/>
        </w:rPr>
        <w:t>698343521878700†L29-L113</w:t>
      </w:r>
      <w:r>
        <w:t>】</w:t>
      </w:r>
    </w:p>
    <w:p w14:paraId="36951D42" w14:textId="77777777" w:rsidR="00D15033" w:rsidRPr="00082746" w:rsidRDefault="00000000">
      <w:pPr>
        <w:pStyle w:val="Heading3"/>
        <w:rPr>
          <w:lang w:val="pt-BR"/>
        </w:rPr>
      </w:pPr>
      <w:bookmarkStart w:id="2" w:name="regras-de-terminaçãocontinuação-no-bls"/>
      <w:r w:rsidRPr="00082746">
        <w:rPr>
          <w:lang w:val="pt-BR"/>
        </w:rPr>
        <w:lastRenderedPageBreak/>
        <w:t>Regras de Terminação/Continuação no BLS</w:t>
      </w:r>
    </w:p>
    <w:p w14:paraId="11904BEA" w14:textId="77777777" w:rsidR="00D15033" w:rsidRPr="00082746" w:rsidRDefault="00000000">
      <w:pPr>
        <w:pStyle w:val="FirstParagraph"/>
        <w:rPr>
          <w:lang w:val="pt-BR"/>
        </w:rPr>
      </w:pPr>
      <w:r w:rsidRPr="00082746">
        <w:rPr>
          <w:lang w:val="pt-BR"/>
        </w:rPr>
        <w:t xml:space="preserve">Além do algoritmo de RCP, as Diretrizes 2025 incluem regras de decisão para </w:t>
      </w:r>
      <w:r w:rsidRPr="00082746">
        <w:rPr>
          <w:i/>
          <w:iCs/>
          <w:lang w:val="pt-BR"/>
        </w:rPr>
        <w:t>terminação de esforços</w:t>
      </w:r>
      <w:r w:rsidRPr="00082746">
        <w:rPr>
          <w:lang w:val="pt-BR"/>
        </w:rPr>
        <w:t xml:space="preserve"> no contexto extra‑hospitalar. O </w:t>
      </w:r>
      <w:r w:rsidRPr="00082746">
        <w:rPr>
          <w:b/>
          <w:bCs/>
          <w:lang w:val="pt-BR"/>
        </w:rPr>
        <w:t>Regra BLS de Terminação</w:t>
      </w:r>
      <w:r w:rsidRPr="00082746">
        <w:rPr>
          <w:lang w:val="pt-BR"/>
        </w:rPr>
        <w:t xml:space="preserve"> estabelece que a ressuscitação pode ser interrompida quando </w:t>
      </w:r>
      <w:r w:rsidRPr="00082746">
        <w:rPr>
          <w:i/>
          <w:iCs/>
          <w:lang w:val="pt-BR"/>
        </w:rPr>
        <w:t>todos</w:t>
      </w:r>
      <w:r w:rsidRPr="00082746">
        <w:rPr>
          <w:lang w:val="pt-BR"/>
        </w:rPr>
        <w:t xml:space="preserve"> os critérios a seguir estiverem presentes:</w:t>
      </w:r>
    </w:p>
    <w:p w14:paraId="67BD08CD" w14:textId="77777777" w:rsidR="00D15033" w:rsidRPr="0008274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082746">
        <w:rPr>
          <w:lang w:val="pt-BR"/>
        </w:rPr>
        <w:t xml:space="preserve">A PCR </w:t>
      </w:r>
      <w:r w:rsidRPr="00082746">
        <w:rPr>
          <w:b/>
          <w:bCs/>
          <w:lang w:val="pt-BR"/>
        </w:rPr>
        <w:t>não foi testemunhada</w:t>
      </w:r>
      <w:r w:rsidRPr="00082746">
        <w:rPr>
          <w:lang w:val="pt-BR"/>
        </w:rPr>
        <w:t xml:space="preserve"> por profissionais de emergências;</w:t>
      </w:r>
    </w:p>
    <w:p w14:paraId="5A079489" w14:textId="77777777" w:rsidR="00D15033" w:rsidRPr="0008274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082746">
        <w:rPr>
          <w:b/>
          <w:bCs/>
          <w:lang w:val="pt-BR"/>
        </w:rPr>
        <w:t>Não houve retorno de circulação espontânea (ROSC)</w:t>
      </w:r>
      <w:r w:rsidRPr="00082746">
        <w:rPr>
          <w:lang w:val="pt-BR"/>
        </w:rPr>
        <w:t xml:space="preserve"> antes do transporte;</w:t>
      </w:r>
    </w:p>
    <w:p w14:paraId="6FDA3378" w14:textId="77777777" w:rsidR="00D15033" w:rsidRPr="0008274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082746">
        <w:rPr>
          <w:b/>
          <w:bCs/>
          <w:lang w:val="pt-BR"/>
        </w:rPr>
        <w:t>Nenhum choque com DEA foi aplicado</w:t>
      </w:r>
      <w:r w:rsidRPr="00082746">
        <w:rPr>
          <w:lang w:val="pt-BR"/>
        </w:rPr>
        <w:t xml:space="preserve"> antes do transporte</w:t>
      </w:r>
      <w:r>
        <w:t>【</w:t>
      </w:r>
      <w:r w:rsidRPr="00082746">
        <w:rPr>
          <w:lang w:val="pt-BR"/>
        </w:rPr>
        <w:t>163033403205035†L0-L9</w:t>
      </w:r>
      <w:r>
        <w:t>】</w:t>
      </w:r>
      <w:r w:rsidRPr="00082746">
        <w:rPr>
          <w:lang w:val="pt-BR"/>
        </w:rPr>
        <w:t>.</w:t>
      </w:r>
    </w:p>
    <w:p w14:paraId="20F56B6C" w14:textId="77777777" w:rsidR="00D15033" w:rsidRPr="00082746" w:rsidRDefault="00000000">
      <w:pPr>
        <w:pStyle w:val="FirstParagraph"/>
        <w:rPr>
          <w:lang w:val="pt-BR"/>
        </w:rPr>
      </w:pPr>
      <w:r w:rsidRPr="00082746">
        <w:rPr>
          <w:lang w:val="pt-BR"/>
        </w:rPr>
        <w:t xml:space="preserve">Se </w:t>
      </w:r>
      <w:r w:rsidRPr="00082746">
        <w:rPr>
          <w:b/>
          <w:bCs/>
          <w:lang w:val="pt-BR"/>
        </w:rPr>
        <w:t>qualquer</w:t>
      </w:r>
      <w:r w:rsidRPr="00082746">
        <w:rPr>
          <w:lang w:val="pt-BR"/>
        </w:rPr>
        <w:t xml:space="preserve"> desses critérios estiver ausente (isto é, se a PCR foi testemunhada, se houve ROSC ou se foi administrado choque), os reanimadores devem </w:t>
      </w:r>
      <w:r w:rsidRPr="00082746">
        <w:rPr>
          <w:b/>
          <w:bCs/>
          <w:lang w:val="pt-BR"/>
        </w:rPr>
        <w:t>continuar a RCP e transportar</w:t>
      </w:r>
      <w:r w:rsidRPr="00082746">
        <w:rPr>
          <w:lang w:val="pt-BR"/>
        </w:rPr>
        <w:t xml:space="preserve"> a vítima. Essa regra visa reduzir transportes fúteis e priorizar recursos onde há chance de sucesso</w:t>
      </w:r>
      <w:r>
        <w:t>【</w:t>
      </w:r>
      <w:r w:rsidRPr="00082746">
        <w:rPr>
          <w:lang w:val="pt-BR"/>
        </w:rPr>
        <w:t>163033403205035†L0-L9</w:t>
      </w:r>
      <w:r>
        <w:t>】</w:t>
      </w:r>
      <w:r w:rsidRPr="00082746">
        <w:rPr>
          <w:lang w:val="pt-BR"/>
        </w:rPr>
        <w:t>.</w:t>
      </w:r>
    </w:p>
    <w:p w14:paraId="0226C636" w14:textId="569C958B" w:rsidR="00D15033" w:rsidRDefault="00082746">
      <w:pPr>
        <w:pStyle w:val="CaptionedFigure"/>
      </w:pPr>
      <w:r w:rsidRPr="00082746">
        <w:drawing>
          <wp:inline distT="0" distB="0" distL="0" distR="0" wp14:anchorId="5021D45B" wp14:editId="75184B82">
            <wp:extent cx="5612130" cy="3268980"/>
            <wp:effectExtent l="0" t="0" r="0" b="0"/>
            <wp:docPr id="509334505" name="Picture 1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34505" name="Picture 1" descr="A diagram of a medical procedur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AD08" w14:textId="77777777" w:rsidR="00D15033" w:rsidRPr="00082746" w:rsidRDefault="00000000">
      <w:pPr>
        <w:pStyle w:val="ImageCaption"/>
        <w:rPr>
          <w:lang w:val="pt-BR"/>
        </w:rPr>
      </w:pPr>
      <w:r w:rsidRPr="00082746">
        <w:rPr>
          <w:lang w:val="pt-BR"/>
        </w:rPr>
        <w:t>Algoritmo de Terminação ALS</w:t>
      </w:r>
    </w:p>
    <w:p w14:paraId="1090D438" w14:textId="77777777" w:rsidR="00D15033" w:rsidRPr="00082746" w:rsidRDefault="00000000">
      <w:pPr>
        <w:pStyle w:val="BodyText"/>
        <w:rPr>
          <w:lang w:val="pt-BR"/>
        </w:rPr>
      </w:pPr>
      <w:r w:rsidRPr="00082746">
        <w:rPr>
          <w:lang w:val="pt-BR"/>
        </w:rPr>
        <w:t xml:space="preserve">O fluxograma acima apresenta a </w:t>
      </w:r>
      <w:r w:rsidRPr="00082746">
        <w:rPr>
          <w:b/>
          <w:bCs/>
          <w:lang w:val="pt-BR"/>
        </w:rPr>
        <w:t>Regra ALS de Terminação</w:t>
      </w:r>
      <w:r w:rsidRPr="00082746">
        <w:rPr>
          <w:lang w:val="pt-BR"/>
        </w:rPr>
        <w:t xml:space="preserve"> (Advanced Life Support), que acrescenta um quarto critério: </w:t>
      </w:r>
      <w:r w:rsidRPr="00082746">
        <w:rPr>
          <w:i/>
          <w:iCs/>
          <w:lang w:val="pt-BR"/>
        </w:rPr>
        <w:t>a parada não foi testemunhada por bystanders com RCP inicial</w:t>
      </w:r>
      <w:r w:rsidRPr="00082746">
        <w:rPr>
          <w:lang w:val="pt-BR"/>
        </w:rPr>
        <w:t>. No contexto pré‑hospitalar, se a PCR não foi testemunhada, não há RCP por leigos, não houve ROSC e nenhum choque foi aplicado, considera‑se a possibilidade de terminar os esforços e não transportar. Caso contrário, a ressuscitação e o transporte devem ser mantidos.</w:t>
      </w:r>
      <w:r>
        <w:t>【</w:t>
      </w:r>
      <w:r w:rsidRPr="00082746">
        <w:rPr>
          <w:lang w:val="pt-BR"/>
        </w:rPr>
        <w:t>140175294643301†screenshot</w:t>
      </w:r>
      <w:r>
        <w:t>】</w:t>
      </w:r>
    </w:p>
    <w:p w14:paraId="1F2A1753" w14:textId="77777777" w:rsidR="00D15033" w:rsidRDefault="00000000">
      <w:pPr>
        <w:pStyle w:val="BodyText"/>
        <w:rPr>
          <w:lang w:val="pt-BR"/>
        </w:rPr>
      </w:pPr>
      <w:r w:rsidRPr="00082746">
        <w:rPr>
          <w:lang w:val="pt-BR"/>
        </w:rPr>
        <w:t xml:space="preserve">O Suporte Avançado de Vida em Cardiologia (ACLS) integra desfibrilação, medicações e manejo avançado de via aérea. A checagem de ritmo deve ser realizada a cada </w:t>
      </w:r>
      <w:r w:rsidRPr="00082746">
        <w:rPr>
          <w:lang w:val="pt-BR"/>
        </w:rPr>
        <w:lastRenderedPageBreak/>
        <w:t>2 minutos, intercalando RCP de alta qualidade e desfibrilação para ritmos chocáveis. A figura abaixo ilustra o algoritmo de parada cardíaca em adultos, com uma abordagem circular que enfatiza compressões contínuas, choque único e administração de epinefrina e antiarrítmicos conforme o ritmo identificado.</w:t>
      </w:r>
    </w:p>
    <w:p w14:paraId="1BDA6881" w14:textId="5D4E5225" w:rsidR="00082746" w:rsidRPr="00082746" w:rsidRDefault="00082746">
      <w:pPr>
        <w:pStyle w:val="BodyText"/>
        <w:rPr>
          <w:lang w:val="pt-BR"/>
        </w:rPr>
      </w:pPr>
      <w:r w:rsidRPr="00082746">
        <w:rPr>
          <w:lang w:val="pt-BR"/>
        </w:rPr>
        <w:drawing>
          <wp:inline distT="0" distB="0" distL="0" distR="0" wp14:anchorId="20B24ADB" wp14:editId="1E4EB163">
            <wp:extent cx="5612130" cy="3430270"/>
            <wp:effectExtent l="0" t="0" r="0" b="0"/>
            <wp:docPr id="1488327284" name="Picture 1" descr="A diagram of a resusci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27284" name="Picture 1" descr="A diagram of a resuscit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A0B9" w14:textId="77777777" w:rsidR="00D1503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73C4C85" wp14:editId="7F503ADE">
            <wp:extent cx="5334000" cy="6902823"/>
            <wp:effectExtent l="0" t="0" r="0" b="0"/>
            <wp:docPr id="33" name="Picture" descr="Algoritmo AC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cls_algorith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9B9D51" w14:textId="77777777" w:rsidR="00D15033" w:rsidRDefault="00000000">
      <w:pPr>
        <w:pStyle w:val="ImageCaption"/>
        <w:rPr>
          <w:lang w:val="pt-BR"/>
        </w:rPr>
      </w:pPr>
      <w:r w:rsidRPr="00082746">
        <w:rPr>
          <w:lang w:val="pt-BR"/>
        </w:rPr>
        <w:t>Algoritmo ACLS</w:t>
      </w:r>
    </w:p>
    <w:p w14:paraId="7E54D9EF" w14:textId="745D3EDA" w:rsidR="00082746" w:rsidRPr="00082746" w:rsidRDefault="00082746">
      <w:pPr>
        <w:pStyle w:val="ImageCaption"/>
        <w:rPr>
          <w:lang w:val="pt-BR"/>
        </w:rPr>
      </w:pPr>
      <w:r w:rsidRPr="00082746">
        <w:rPr>
          <w:lang w:val="pt-BR"/>
        </w:rPr>
        <w:lastRenderedPageBreak/>
        <w:drawing>
          <wp:inline distT="0" distB="0" distL="0" distR="0" wp14:anchorId="38412735" wp14:editId="39489763">
            <wp:extent cx="5612130" cy="4565015"/>
            <wp:effectExtent l="0" t="0" r="0" b="0"/>
            <wp:docPr id="1947040651" name="Picture 1" descr="A diagram of a patient's life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0651" name="Picture 1" descr="A diagram of a patient's life cyc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0A89" w14:textId="77777777" w:rsidR="00D15033" w:rsidRPr="00082746" w:rsidRDefault="00000000">
      <w:pPr>
        <w:pStyle w:val="Heading3"/>
        <w:rPr>
          <w:lang w:val="pt-BR"/>
        </w:rPr>
      </w:pPr>
      <w:bookmarkStart w:id="3" w:name="ritmos-chocáveis-vs-nãochocáveis"/>
      <w:bookmarkEnd w:id="2"/>
      <w:r w:rsidRPr="00082746">
        <w:rPr>
          <w:lang w:val="pt-BR"/>
        </w:rPr>
        <w:t>Ritmos chocáveis vs não‑chocáveis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27"/>
        <w:gridCol w:w="4527"/>
      </w:tblGrid>
      <w:tr w:rsidR="00D15033" w14:paraId="60C7567C" w14:textId="77777777" w:rsidTr="00D15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740902" w14:textId="77777777" w:rsidR="00D15033" w:rsidRDefault="00000000">
            <w:pPr>
              <w:pStyle w:val="Compact"/>
            </w:pPr>
            <w:proofErr w:type="spellStart"/>
            <w:r>
              <w:t>Ritmos</w:t>
            </w:r>
            <w:proofErr w:type="spellEnd"/>
            <w:r>
              <w:t xml:space="preserve"> </w:t>
            </w:r>
            <w:proofErr w:type="spellStart"/>
            <w:r>
              <w:t>chocáveis</w:t>
            </w:r>
            <w:proofErr w:type="spellEnd"/>
          </w:p>
        </w:tc>
        <w:tc>
          <w:tcPr>
            <w:tcW w:w="0" w:type="auto"/>
          </w:tcPr>
          <w:p w14:paraId="668A4008" w14:textId="77777777" w:rsidR="00D15033" w:rsidRDefault="00000000">
            <w:pPr>
              <w:pStyle w:val="Compact"/>
            </w:pPr>
            <w:r>
              <w:t>Ritmos não‑chocáveis</w:t>
            </w:r>
          </w:p>
        </w:tc>
      </w:tr>
      <w:tr w:rsidR="00D15033" w14:paraId="5034ADB1" w14:textId="77777777">
        <w:tc>
          <w:tcPr>
            <w:tcW w:w="0" w:type="auto"/>
          </w:tcPr>
          <w:p w14:paraId="5A4DBC3F" w14:textId="77777777" w:rsidR="00D15033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43EF4B76" wp14:editId="4E2ECE99">
                  <wp:extent cx="3556000" cy="1612900"/>
                  <wp:effectExtent l="0" t="0" r="0" b="0"/>
                  <wp:docPr id="37" name="Picture" descr="V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v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0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\ Fibrilação ventricular</w:t>
            </w:r>
          </w:p>
        </w:tc>
        <w:tc>
          <w:tcPr>
            <w:tcW w:w="0" w:type="auto"/>
          </w:tcPr>
          <w:p w14:paraId="733B979F" w14:textId="77777777" w:rsidR="00D15033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74B8B086" wp14:editId="6C5908ED">
                  <wp:extent cx="3556000" cy="1612900"/>
                  <wp:effectExtent l="0" t="0" r="0" b="0"/>
                  <wp:docPr id="40" name="Picture" descr="Assistol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asysto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0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\ Assistolia</w:t>
            </w:r>
          </w:p>
        </w:tc>
      </w:tr>
      <w:tr w:rsidR="00D15033" w14:paraId="7DF61EC1" w14:textId="77777777">
        <w:tc>
          <w:tcPr>
            <w:tcW w:w="0" w:type="auto"/>
          </w:tcPr>
          <w:p w14:paraId="0FF82DC1" w14:textId="77777777" w:rsidR="00D15033" w:rsidRDefault="00000000">
            <w:pPr>
              <w:pStyle w:val="Compact"/>
            </w:pPr>
            <w:r>
              <w:rPr>
                <w:noProof/>
              </w:rPr>
              <w:lastRenderedPageBreak/>
              <w:drawing>
                <wp:inline distT="0" distB="0" distL="0" distR="0" wp14:anchorId="2EB85CDE" wp14:editId="71CF725C">
                  <wp:extent cx="3556000" cy="2108200"/>
                  <wp:effectExtent l="0" t="0" r="0" b="0"/>
                  <wp:docPr id="43" name="Picture" descr="TVs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v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0" cy="210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\ Taquicardia ventricular sem pulso</w:t>
            </w:r>
          </w:p>
        </w:tc>
        <w:tc>
          <w:tcPr>
            <w:tcW w:w="0" w:type="auto"/>
          </w:tcPr>
          <w:p w14:paraId="3EFFFF68" w14:textId="77777777" w:rsidR="00D15033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3E6318BA" wp14:editId="7AB86139">
                  <wp:extent cx="3556000" cy="2108200"/>
                  <wp:effectExtent l="0" t="0" r="0" b="0"/>
                  <wp:docPr id="46" name="Picture" descr="AES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pe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0" cy="210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\ Atividade elétrica sem pulso</w:t>
            </w:r>
          </w:p>
        </w:tc>
      </w:tr>
    </w:tbl>
    <w:p w14:paraId="6606DA7B" w14:textId="77777777" w:rsidR="00D15033" w:rsidRPr="00082746" w:rsidRDefault="00000000">
      <w:pPr>
        <w:pStyle w:val="BodyText"/>
        <w:rPr>
          <w:lang w:val="pt-BR"/>
        </w:rPr>
      </w:pPr>
      <w:r w:rsidRPr="00082746">
        <w:rPr>
          <w:lang w:val="pt-BR"/>
        </w:rPr>
        <w:t xml:space="preserve">Para FV ou TVsp (ritmos chocáveis), administra‑se um </w:t>
      </w:r>
      <w:r w:rsidRPr="00082746">
        <w:rPr>
          <w:b/>
          <w:bCs/>
          <w:lang w:val="pt-BR"/>
        </w:rPr>
        <w:t>choque elétrico imediato</w:t>
      </w:r>
      <w:r w:rsidRPr="00082746">
        <w:rPr>
          <w:lang w:val="pt-BR"/>
        </w:rPr>
        <w:t xml:space="preserve"> (200 J bifásico), seguido de 2 minutos de RCP; epinefrina 1 mg é aplicada após o segundo choque e repetida a cada 3–5 min, e amiodarona 300 mg (seguida de 150 mg) é considerada se a FV/TV persistir</w:t>
      </w:r>
      <w:r>
        <w:t>【</w:t>
      </w:r>
      <w:r w:rsidRPr="00082746">
        <w:rPr>
          <w:lang w:val="pt-BR"/>
        </w:rPr>
        <w:t>698343521878700†L29-L113</w:t>
      </w:r>
      <w:r>
        <w:t>】</w:t>
      </w:r>
      <w:r w:rsidRPr="00082746">
        <w:rPr>
          <w:lang w:val="pt-BR"/>
        </w:rPr>
        <w:t>. Para AESP ou assistolia (não‑chocáveis), não se desfibrila; realiza‑se RCP contínua com epinefrina o mais cedo possível, reavalia a cada 2 minutos e identificam‑se causas reversíveis (5Hs/5Ts). A RCP de qualidade é medida pela capnografia, buscando valores de ETCO₂ ≥10 mmHg, e a confirmação de ROSC se dá pelo aumento súbito do ETCO₂</w:t>
      </w:r>
      <w:r>
        <w:t>【</w:t>
      </w:r>
      <w:r w:rsidRPr="00082746">
        <w:rPr>
          <w:lang w:val="pt-BR"/>
        </w:rPr>
        <w:t>163033403205035†L0-L9</w:t>
      </w:r>
      <w:r>
        <w:t>】</w:t>
      </w:r>
      <w:r w:rsidRPr="00082746">
        <w:rPr>
          <w:lang w:val="pt-BR"/>
        </w:rPr>
        <w:t>.</w:t>
      </w:r>
    </w:p>
    <w:p w14:paraId="2FF89101" w14:textId="77777777" w:rsidR="00D15033" w:rsidRPr="00082746" w:rsidRDefault="00000000">
      <w:pPr>
        <w:pStyle w:val="Heading3"/>
        <w:rPr>
          <w:lang w:val="pt-BR"/>
        </w:rPr>
      </w:pPr>
      <w:bookmarkStart w:id="4" w:name="monitorização-com-capnografia"/>
      <w:bookmarkEnd w:id="3"/>
      <w:r w:rsidRPr="00082746">
        <w:rPr>
          <w:lang w:val="pt-BR"/>
        </w:rPr>
        <w:t>Monitorização com capnografia</w:t>
      </w:r>
    </w:p>
    <w:p w14:paraId="6DDF918D" w14:textId="77777777" w:rsidR="00D15033" w:rsidRDefault="00000000">
      <w:pPr>
        <w:pStyle w:val="FirstParagraph"/>
      </w:pPr>
      <w:r w:rsidRPr="00082746">
        <w:rPr>
          <w:lang w:val="pt-BR"/>
        </w:rPr>
        <w:t xml:space="preserve">A capnografia quantitativa fornece feedback contínuo sobre a perfusão durante a RCP. </w:t>
      </w:r>
      <w:proofErr w:type="spellStart"/>
      <w:r>
        <w:t>Os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ilustram</w:t>
      </w:r>
      <w:proofErr w:type="spellEnd"/>
      <w:r>
        <w:t xml:space="preserve"> diferentes padrões de ETCO₂: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62"/>
        <w:gridCol w:w="5392"/>
      </w:tblGrid>
      <w:tr w:rsidR="00D15033" w14:paraId="2BBB82AB" w14:textId="77777777" w:rsidTr="00D15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DFC549" w14:textId="77777777" w:rsidR="00D15033" w:rsidRDefault="00000000">
            <w:pPr>
              <w:pStyle w:val="Compact"/>
            </w:pPr>
            <w:r>
              <w:rPr>
                <w:noProof/>
              </w:rPr>
              <w:lastRenderedPageBreak/>
              <w:drawing>
                <wp:inline distT="0" distB="0" distL="0" distR="0" wp14:anchorId="0E76B6C1" wp14:editId="7B4DC514">
                  <wp:extent cx="2666197" cy="4783755"/>
                  <wp:effectExtent l="0" t="0" r="0" b="0"/>
                  <wp:docPr id="50" name="Picture" descr="Capnografia – painéi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 descr="capno_pane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6197" cy="4783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7A04D20" w14:textId="77777777" w:rsidR="00D15033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718E8E98" wp14:editId="050140A7">
                  <wp:extent cx="4004109" cy="2762450"/>
                  <wp:effectExtent l="0" t="0" r="0" b="0"/>
                  <wp:docPr id="53" name="Picture" descr="Capnografia – gráfic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capno_grap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4109" cy="276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033" w:rsidRPr="00082746" w14:paraId="2D2110B3" w14:textId="77777777">
        <w:tc>
          <w:tcPr>
            <w:tcW w:w="0" w:type="auto"/>
          </w:tcPr>
          <w:p w14:paraId="53909CE2" w14:textId="77777777" w:rsidR="00D15033" w:rsidRPr="00082746" w:rsidRDefault="00000000">
            <w:pPr>
              <w:pStyle w:val="Compact"/>
              <w:rPr>
                <w:lang w:val="pt-BR"/>
              </w:rPr>
            </w:pPr>
            <w:r w:rsidRPr="00082746">
              <w:rPr>
                <w:lang w:val="pt-BR"/>
              </w:rPr>
              <w:t>Variações de onda ETCO₂ (perda súbita, queda gradual, avaliação da RCP, aumento brusco)</w:t>
            </w:r>
          </w:p>
        </w:tc>
        <w:tc>
          <w:tcPr>
            <w:tcW w:w="0" w:type="auto"/>
          </w:tcPr>
          <w:p w14:paraId="6DDF5DDE" w14:textId="77777777" w:rsidR="00D15033" w:rsidRPr="00082746" w:rsidRDefault="00000000">
            <w:pPr>
              <w:pStyle w:val="Compact"/>
              <w:rPr>
                <w:lang w:val="pt-BR"/>
              </w:rPr>
            </w:pPr>
            <w:r w:rsidRPr="00082746">
              <w:rPr>
                <w:lang w:val="pt-BR"/>
              </w:rPr>
              <w:t>Relação entre ETCO₂ e compressões/ROSC: valores baixos indicam compressões fracas; salto ao ROSC.</w:t>
            </w:r>
          </w:p>
        </w:tc>
      </w:tr>
    </w:tbl>
    <w:p w14:paraId="688A7107" w14:textId="77777777" w:rsidR="00D15033" w:rsidRPr="00082746" w:rsidRDefault="00000000">
      <w:pPr>
        <w:pStyle w:val="BodyText"/>
        <w:rPr>
          <w:lang w:val="pt-BR"/>
        </w:rPr>
      </w:pPr>
      <w:r w:rsidRPr="00082746">
        <w:rPr>
          <w:lang w:val="pt-BR"/>
        </w:rPr>
        <w:t xml:space="preserve">A perda súbita de onda indica deslocamento do tubo ou falha ventilatória; a redução gradual sugere vazamento do cuff ou obstrução parcial; valores persistentes menores que 10 mmHg indicam compressões ineficazes; já o </w:t>
      </w:r>
      <w:r w:rsidRPr="00082746">
        <w:rPr>
          <w:b/>
          <w:bCs/>
          <w:lang w:val="pt-BR"/>
        </w:rPr>
        <w:t>aumento abrupto de ETCO₂</w:t>
      </w:r>
      <w:r w:rsidRPr="00082746">
        <w:rPr>
          <w:lang w:val="pt-BR"/>
        </w:rPr>
        <w:t xml:space="preserve"> sinaliza retorno da circulação espontânea (ROSC) antes mesmo de o pulso ser palpável</w:t>
      </w:r>
      <w:r>
        <w:t>【</w:t>
      </w:r>
      <w:r w:rsidRPr="00082746">
        <w:rPr>
          <w:lang w:val="pt-BR"/>
        </w:rPr>
        <w:t>163033403205035†L0-L9</w:t>
      </w:r>
      <w:r>
        <w:t>】</w:t>
      </w:r>
      <w:r w:rsidRPr="00082746">
        <w:rPr>
          <w:lang w:val="pt-BR"/>
        </w:rPr>
        <w:t>. Essas curvas ajudam a tomar decisões em tempo real durante a ressuscitação.</w:t>
      </w:r>
    </w:p>
    <w:p w14:paraId="221EF6C2" w14:textId="77777777" w:rsidR="00D15033" w:rsidRPr="00082746" w:rsidRDefault="00000000">
      <w:pPr>
        <w:pStyle w:val="BodyText"/>
        <w:rPr>
          <w:lang w:val="pt-BR"/>
        </w:rPr>
      </w:pPr>
      <w:r w:rsidRPr="00082746">
        <w:rPr>
          <w:lang w:val="pt-BR"/>
        </w:rPr>
        <w:t>Após o retorno da circulação espontânea, o atendimento foca na estabilização hemodinâmica, otimização de oxigenação/ventilação e diagnóstico da causa da parada. O algoritmo a seguir, retirado das Diretrizes AHA 2025, orienta a sequência de cuidados pós‑PCR em adultos.</w:t>
      </w:r>
    </w:p>
    <w:p w14:paraId="18ED2275" w14:textId="77777777" w:rsidR="00D1503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C19FBA5" wp14:editId="2BD7AC87">
            <wp:extent cx="5334000" cy="6902823"/>
            <wp:effectExtent l="0" t="0" r="0" b="0"/>
            <wp:docPr id="56" name="Picture" descr="Algoritmo Pós‑PC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postros_algorith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4F9BE6" w14:textId="77777777" w:rsidR="00D15033" w:rsidRPr="00082746" w:rsidRDefault="00000000">
      <w:pPr>
        <w:pStyle w:val="ImageCaption"/>
        <w:rPr>
          <w:lang w:val="pt-BR"/>
        </w:rPr>
      </w:pPr>
      <w:r w:rsidRPr="00082746">
        <w:rPr>
          <w:lang w:val="pt-BR"/>
        </w:rPr>
        <w:t>Algoritmo Pós‑PCR</w:t>
      </w:r>
    </w:p>
    <w:p w14:paraId="751CA5A3" w14:textId="77777777" w:rsidR="00D15033" w:rsidRPr="00082746" w:rsidRDefault="00000000">
      <w:pPr>
        <w:pStyle w:val="BodyText"/>
        <w:rPr>
          <w:lang w:val="pt-BR"/>
        </w:rPr>
      </w:pPr>
      <w:r w:rsidRPr="00082746">
        <w:rPr>
          <w:lang w:val="pt-BR"/>
        </w:rPr>
        <w:t xml:space="preserve">As metas iniciais incluem saturação periférica de oxigênio entre 94–98 %, pressão arterial média ≥65 mmHg, controle da temperatura por pelo menos 36 h (evitando hipertermia) e avaliação sistemática com ECG de 12 derivações, gasometria e exames de imagem. A capnografia continua útil para detectar hipoventilação ou hiperventilação. Se houver sinais de infarto com supra de ST, o paciente deve ser </w:t>
      </w:r>
      <w:r w:rsidRPr="00082746">
        <w:rPr>
          <w:lang w:val="pt-BR"/>
        </w:rPr>
        <w:lastRenderedPageBreak/>
        <w:t>encaminhado para cateterismo urgente; caso contrário, avalia‑se a causa subjacente e se planeja abordagem coronária seletiva. O prognóstico neurológico não deve ser estimado antes de 72 h após a normotermia, utilizando abordagem multimodal (exame clínico, EEG, marcadores). A comunicação com familiares e a decisão sobre continuidade do suporte devem seguir princípios éticos baseados em evidências.</w:t>
      </w:r>
    </w:p>
    <w:p w14:paraId="670B4B4F" w14:textId="77777777" w:rsidR="00D15033" w:rsidRPr="00082746" w:rsidRDefault="00000000">
      <w:pPr>
        <w:pStyle w:val="BodyText"/>
        <w:rPr>
          <w:lang w:val="pt-BR"/>
        </w:rPr>
      </w:pPr>
      <w:r w:rsidRPr="00082746">
        <w:rPr>
          <w:lang w:val="pt-BR"/>
        </w:rPr>
        <w:t>Este capítulo reúne informações complementares para aprimorar a prática de ressuscitação:</w:t>
      </w:r>
    </w:p>
    <w:p w14:paraId="37550186" w14:textId="77777777" w:rsidR="00D15033" w:rsidRPr="00082746" w:rsidRDefault="00000000">
      <w:pPr>
        <w:numPr>
          <w:ilvl w:val="0"/>
          <w:numId w:val="3"/>
        </w:numPr>
        <w:rPr>
          <w:lang w:val="pt-BR"/>
        </w:rPr>
      </w:pPr>
      <w:r w:rsidRPr="00082746">
        <w:rPr>
          <w:lang w:val="pt-BR"/>
        </w:rPr>
        <w:t xml:space="preserve">: a epinefrina (1 mg IV/IO a cada 3–5 min) é universal; amiodarona (300 mg → 150 mg) ou lidocaína substituem choque refratário; sulfato de magnésio (2 g) é indicado para </w:t>
      </w:r>
      <w:r w:rsidRPr="00082746">
        <w:rPr>
          <w:i/>
          <w:iCs/>
          <w:lang w:val="pt-BR"/>
        </w:rPr>
        <w:t>torsades de pointes</w:t>
      </w:r>
      <w:r w:rsidRPr="00082746">
        <w:rPr>
          <w:lang w:val="pt-BR"/>
        </w:rPr>
        <w:t>; atropina (0,5 mg) somente para bradicardias instáveis com pulso; bicarbonato de sódio e cálcio reservados para hipercalemia ou acidose grave.</w:t>
      </w:r>
    </w:p>
    <w:p w14:paraId="532833C4" w14:textId="77777777" w:rsidR="00D15033" w:rsidRPr="00082746" w:rsidRDefault="00000000">
      <w:pPr>
        <w:numPr>
          <w:ilvl w:val="0"/>
          <w:numId w:val="3"/>
        </w:numPr>
        <w:rPr>
          <w:lang w:val="pt-BR"/>
        </w:rPr>
      </w:pPr>
      <w:r w:rsidRPr="00082746">
        <w:rPr>
          <w:lang w:val="pt-BR"/>
        </w:rPr>
        <w:t>: hipovolemia, hipóxia, hidrogênio (acidose), hipo/hipercalemia, hipotermia; tensão no pneumotórax, tamponamento cardíaco, toxinas, trombose pulmonar e trombose coronária. A busca ativa dessas causas durante a PCR aumenta a chance de reversão.</w:t>
      </w:r>
    </w:p>
    <w:p w14:paraId="4856C7FC" w14:textId="77777777" w:rsidR="00D15033" w:rsidRDefault="00000000">
      <w:pPr>
        <w:numPr>
          <w:ilvl w:val="0"/>
          <w:numId w:val="3"/>
        </w:numPr>
      </w:pPr>
      <w:r w:rsidRPr="00082746">
        <w:rPr>
          <w:lang w:val="pt-BR"/>
        </w:rPr>
        <w:t xml:space="preserve">: evitar hiperventilação, minimizar pausas para desfibrilação ou intubação, trocar o compressador a cada 2 minutos, preparar o desfibrilador durante as compressões, registrar eventos e tempos de forma precisa e usar dispositivos de feedback quando disponíveis. </w:t>
      </w:r>
      <w:r>
        <w:t xml:space="preserve">O debriefing </w:t>
      </w:r>
      <w:proofErr w:type="spellStart"/>
      <w:r>
        <w:t>pós‑evento</w:t>
      </w:r>
      <w:proofErr w:type="spellEnd"/>
      <w:r>
        <w:t xml:space="preserve"> é essencial para melhoria contínua.</w:t>
      </w:r>
      <w:bookmarkEnd w:id="0"/>
      <w:bookmarkEnd w:id="1"/>
      <w:bookmarkEnd w:id="4"/>
    </w:p>
    <w:sectPr w:rsidR="00D15033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C19A4" w14:textId="77777777" w:rsidR="00C41A0D" w:rsidRDefault="00C41A0D">
      <w:pPr>
        <w:spacing w:after="0"/>
      </w:pPr>
      <w:r>
        <w:separator/>
      </w:r>
    </w:p>
  </w:endnote>
  <w:endnote w:type="continuationSeparator" w:id="0">
    <w:p w14:paraId="4B1E8693" w14:textId="77777777" w:rsidR="00C41A0D" w:rsidRDefault="00C41A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B7F18" w14:textId="77777777" w:rsidR="00C41A0D" w:rsidRDefault="00C41A0D">
      <w:r>
        <w:separator/>
      </w:r>
    </w:p>
  </w:footnote>
  <w:footnote w:type="continuationSeparator" w:id="0">
    <w:p w14:paraId="08448D1D" w14:textId="77777777" w:rsidR="00C41A0D" w:rsidRDefault="00C41A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CA5B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0402C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19457000">
    <w:abstractNumId w:val="0"/>
  </w:num>
  <w:num w:numId="2" w16cid:durableId="313804845">
    <w:abstractNumId w:val="1"/>
  </w:num>
  <w:num w:numId="3" w16cid:durableId="2009402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5033"/>
    <w:rsid w:val="00082746"/>
    <w:rsid w:val="002F033D"/>
    <w:rsid w:val="00636C98"/>
    <w:rsid w:val="00C41A0D"/>
    <w:rsid w:val="00D1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DE00"/>
  <w15:docId w15:val="{B49C53F8-FDF1-4C0B-BD29-0BE3F7BB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1083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Prático ACLS 2025 – Guia para Residentes de Clínica Médica</vt:lpstr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Prático ACLS 2025 – Guia para Residentes de Clínica Médica</dc:title>
  <dc:creator/>
  <cp:keywords/>
  <cp:lastModifiedBy>Lucas Miachon</cp:lastModifiedBy>
  <cp:revision>3</cp:revision>
  <dcterms:created xsi:type="dcterms:W3CDTF">2025-10-24T15:54:00Z</dcterms:created>
  <dcterms:modified xsi:type="dcterms:W3CDTF">2025-10-24T22:35:00Z</dcterms:modified>
</cp:coreProperties>
</file>