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802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FMU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024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554480" cy="838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Medicina Interna (1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38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160"/>
      </w:pPr>
    </w:p>
    <w:p>
      <w:pPr>
        <w:pStyle w:val="Title"/>
        <w:jc w:val="center"/>
      </w:pPr>
      <w:r>
        <w:t>ACLS 2025 — MANUAL PRAGMÁTICO PARA TREINAMENTO PRÁTICO (ADULTOS)</w:t>
      </w:r>
    </w:p>
    <w:p>
      <w:pPr>
        <w:pStyle w:val="SubtitleElegant"/>
        <w:jc w:val="center"/>
      </w:pPr>
      <w:r>
        <w:t>BLS • ACLS • Cuidados Pós-Parada • Outros • Apêndice Teórico</w:t>
      </w:r>
    </w:p>
    <w:p>
      <w:pPr>
        <w:spacing w:after="320" w:before="320"/>
      </w:pPr>
    </w:p>
    <w:p>
      <w:pPr>
        <w:jc w:val="center"/>
      </w:pPr>
      <w:r>
        <w:t>Residência de Clínica Médica — HC‑FMUSP  |  Versão: 24/10/2025</w:t>
      </w:r>
    </w:p>
    <w:p>
      <w:pPr>
        <w:jc w:val="center"/>
      </w:pPr>
      <w:r>
        <w:t>Elaborado por: Lucas Peres Miachon com apoio do GPT‑5 Thinking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rPr>
          <w:i/>
          <w:sz w:val="20"/>
        </w:rPr>
        <w:t>&lt;&lt; Inserir SUMÁRIO automático: no Word, vá em Referências → Sumário → Atualizar (F9). &gt;&gt;</w:t>
      </w:r>
    </w:p>
    <w:p>
      <w:pPr>
        <w:spacing w:after="160" w:before="160"/>
      </w:pPr>
    </w:p>
    <w:p>
      <w:pPr>
        <w:pStyle w:val="Heading1"/>
      </w:pPr>
      <w:r>
        <w:t>Capítulo 1 — BLS (Suporte Básico de Vida — Adulto)</w:t>
      </w:r>
    </w:p>
    <w:p>
      <w:pPr>
        <w:pStyle w:val="Heading2"/>
      </w:pPr>
      <w:r>
        <w:t>Essencial para o treinamento prático</w:t>
      </w:r>
    </w:p>
    <w:p>
      <w:pPr>
        <w:pStyle w:val="ListBullet"/>
      </w:pPr>
      <w:r>
        <w:t>Reconheça rapidamente a PCR: inconsciência + respiração anormal (gasping) → inicie RCP.</w:t>
      </w:r>
    </w:p>
    <w:p>
      <w:pPr>
        <w:pStyle w:val="ListBullet"/>
      </w:pPr>
      <w:r>
        <w:t>Ative o serviço de emergência e inicie compressões torácicas imediatamente.</w:t>
      </w:r>
    </w:p>
    <w:p>
      <w:pPr>
        <w:pStyle w:val="ListBullet"/>
      </w:pPr>
      <w:r>
        <w:t>RCP no local onde o paciente se encontra, garantindo segurança da equipe.</w:t>
      </w:r>
    </w:p>
    <w:p>
      <w:pPr>
        <w:pStyle w:val="ListBullet"/>
      </w:pPr>
      <w:r>
        <w:t>Compressões de alta qualidade: 100–120/min, 5–6 cm, retorno completo do tórax, minimize interrupções.</w:t>
      </w:r>
    </w:p>
    <w:p>
      <w:pPr>
        <w:pStyle w:val="ListBullet"/>
      </w:pPr>
      <w:r>
        <w:t>Ventile de forma eficaz: com via aérea avançada, 10 ventilações/min (1 a cada 6 s); evite hiperventilar.</w:t>
      </w:r>
    </w:p>
    <w:p>
      <w:pPr>
        <w:pStyle w:val="ListBullet"/>
      </w:pPr>
      <w:r>
        <w:t>Desfibrilação precoce com DEA quando disponível; siga as instruções do dispositivo.</w:t>
      </w:r>
    </w:p>
    <w:p>
      <w:pPr>
        <w:pStyle w:val="ListBullet"/>
      </w:pPr>
      <w:r>
        <w:t>PPE: uso razoável de EPI durante a RCP.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  <w:p/>
          <w:p/>
        </w:tc>
      </w:tr>
    </w:tbl>
    <w:p>
      <w:pPr>
        <w:jc w:val="center"/>
      </w:pPr>
      <w:r>
        <w:rPr>
          <w:i/>
        </w:rPr>
        <w:t>Inserir ALGORITMO AHA 2025 — Adult Basic Life Support (Profissionais de Saúde). Fonte: AHA 2025, Part 7.</w:t>
      </w:r>
    </w:p>
    <w:p>
      <w:pPr>
        <w:pStyle w:val="Heading2"/>
      </w:pPr>
      <w:r>
        <w:t>Painel didático de ritmos (para reconhecimento rápido)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  <w:p/>
        </w:tc>
      </w:tr>
    </w:tbl>
    <w:p>
      <w:pPr>
        <w:jc w:val="center"/>
      </w:pPr>
      <w:r>
        <w:rPr>
          <w:i/>
        </w:rPr>
        <w:t>ECG — Ritmos chocáveis (FV/pVT) — Inserir traçados a partir do material AHA 2025.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  <w:p/>
        </w:tc>
      </w:tr>
    </w:tbl>
    <w:p>
      <w:pPr>
        <w:jc w:val="center"/>
      </w:pPr>
      <w:r>
        <w:rPr>
          <w:i/>
        </w:rPr>
        <w:t>ECG — Ritmos não chocáveis (Assistolia/AESP) — Inserir traçados a partir do material AHA 2025.</w:t>
      </w:r>
    </w:p>
    <w:p>
      <w:pPr>
        <w:pStyle w:val="Heading3"/>
      </w:pPr>
      <w:r>
        <w:t>BLS — Benchmarks práticos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Parâmetro</w:t>
            </w:r>
          </w:p>
        </w:tc>
        <w:tc>
          <w:tcPr>
            <w:tcW w:type="dxa" w:w="3135"/>
          </w:tcPr>
          <w:p>
            <w:r>
              <w:t>Alvo/Prática</w:t>
            </w:r>
          </w:p>
        </w:tc>
        <w:tc>
          <w:tcPr>
            <w:tcW w:type="dxa" w:w="3135"/>
          </w:tcPr>
          <w:p>
            <w:r>
              <w:t>Observações</w:t>
            </w:r>
          </w:p>
        </w:tc>
      </w:tr>
      <w:tr>
        <w:tc>
          <w:tcPr>
            <w:tcW w:type="dxa" w:w="3135"/>
          </w:tcPr>
          <w:p>
            <w:r>
              <w:t>Frequência das compressões</w:t>
            </w:r>
          </w:p>
        </w:tc>
        <w:tc>
          <w:tcPr>
            <w:tcW w:type="dxa" w:w="3135"/>
          </w:tcPr>
          <w:p>
            <w:r>
              <w:t>100–120/min</w:t>
            </w:r>
          </w:p>
        </w:tc>
        <w:tc>
          <w:tcPr>
            <w:tcW w:type="dxa" w:w="3135"/>
          </w:tcPr>
          <w:p>
            <w:r>
              <w:t>Evite &lt;100 ou &gt;120/min.</w:t>
            </w:r>
          </w:p>
        </w:tc>
      </w:tr>
      <w:tr>
        <w:tc>
          <w:tcPr>
            <w:tcW w:type="dxa" w:w="3135"/>
          </w:tcPr>
          <w:p>
            <w:r>
              <w:t>Profundidade</w:t>
            </w:r>
          </w:p>
        </w:tc>
        <w:tc>
          <w:tcPr>
            <w:tcW w:type="dxa" w:w="3135"/>
          </w:tcPr>
          <w:p>
            <w:r>
              <w:t>5–6 cm</w:t>
            </w:r>
          </w:p>
        </w:tc>
        <w:tc>
          <w:tcPr>
            <w:tcW w:type="dxa" w:w="3135"/>
          </w:tcPr>
          <w:p>
            <w:r>
              <w:t>Retorno completo do tórax.</w:t>
            </w:r>
          </w:p>
        </w:tc>
      </w:tr>
      <w:tr>
        <w:tc>
          <w:tcPr>
            <w:tcW w:type="dxa" w:w="3135"/>
          </w:tcPr>
          <w:p>
            <w:r>
              <w:t>Interrupções</w:t>
            </w:r>
          </w:p>
        </w:tc>
        <w:tc>
          <w:tcPr>
            <w:tcW w:type="dxa" w:w="3135"/>
          </w:tcPr>
          <w:p>
            <w:r>
              <w:t>&lt;10 s</w:t>
            </w:r>
          </w:p>
        </w:tc>
        <w:tc>
          <w:tcPr>
            <w:tcW w:type="dxa" w:w="3135"/>
          </w:tcPr>
          <w:p>
            <w:r>
              <w:t>Minimize pausas para análise/choque/ventilação.</w:t>
            </w:r>
          </w:p>
        </w:tc>
      </w:tr>
      <w:tr>
        <w:tc>
          <w:tcPr>
            <w:tcW w:type="dxa" w:w="3135"/>
          </w:tcPr>
          <w:p>
            <w:r>
              <w:t>Ventilações (via avançada)</w:t>
            </w:r>
          </w:p>
        </w:tc>
        <w:tc>
          <w:tcPr>
            <w:tcW w:type="dxa" w:w="3135"/>
          </w:tcPr>
          <w:p>
            <w:r>
              <w:t>10/min</w:t>
            </w:r>
          </w:p>
        </w:tc>
        <w:tc>
          <w:tcPr>
            <w:tcW w:type="dxa" w:w="3135"/>
          </w:tcPr>
          <w:p>
            <w:r>
              <w:t>1 a cada 6 s; evitar hiperventilação.</w:t>
            </w:r>
          </w:p>
        </w:tc>
      </w:tr>
    </w:tbl>
    <w:p>
      <w:r>
        <w:br w:type="page"/>
      </w:r>
    </w:p>
    <w:p>
      <w:pPr>
        <w:pStyle w:val="Heading1"/>
      </w:pPr>
      <w:r>
        <w:t>Capítulo 2 — ACLS (Suporte Avançado de Vida — Adulto)</w:t>
      </w:r>
    </w:p>
    <w:p>
      <w:pPr>
        <w:pStyle w:val="Heading2"/>
      </w:pPr>
      <w:r>
        <w:t>Princípios que guiam as manobras durante a PCR</w:t>
      </w:r>
    </w:p>
    <w:p>
      <w:pPr>
        <w:pStyle w:val="ListBullet"/>
      </w:pPr>
      <w:r>
        <w:t>Estratégia de choque único (retomar RCP imediatamente após o choque).</w:t>
      </w:r>
    </w:p>
    <w:p>
      <w:pPr>
        <w:pStyle w:val="ListBullet"/>
      </w:pPr>
      <w:r>
        <w:t>Preferir desfibriladores bifásicos; energia inicial conforme o fabricante; considerar escalonar se necessário.</w:t>
      </w:r>
    </w:p>
    <w:p>
      <w:pPr>
        <w:pStyle w:val="ListBullet"/>
      </w:pPr>
      <w:r>
        <w:t>Mudar vetores/double‑sequential: benefício não estabelecido para FV/pVT persistente.</w:t>
      </w:r>
    </w:p>
    <w:p>
      <w:pPr>
        <w:pStyle w:val="ListBullet"/>
      </w:pPr>
      <w:r>
        <w:t>Acesso IV é preferível; IO é alternativa quando IV atrasar ou for inviável.</w:t>
      </w:r>
    </w:p>
    <w:p>
      <w:pPr>
        <w:pStyle w:val="ListBullet"/>
      </w:pPr>
      <w:r>
        <w:t>POCUS pode ser considerado por profissional experiente se não interromper RCP.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  <w:p/>
          <w:p/>
          <w:p/>
        </w:tc>
      </w:tr>
    </w:tbl>
    <w:p>
      <w:pPr>
        <w:jc w:val="center"/>
      </w:pPr>
      <w:r>
        <w:rPr>
          <w:i/>
        </w:rPr>
        <w:t>Inserir ALGORITMO CIRCULAR AHA 2025 — Adult Advanced Life Support. Fonte: AHA 2025, Part 9.</w:t>
      </w:r>
    </w:p>
    <w:p>
      <w:pPr>
        <w:pStyle w:val="Heading3"/>
      </w:pPr>
      <w:r>
        <w:t>Observações sobre desfibrilação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Tema</w:t>
            </w:r>
          </w:p>
        </w:tc>
        <w:tc>
          <w:tcPr>
            <w:tcW w:type="dxa" w:w="3135"/>
          </w:tcPr>
          <w:p>
            <w:r>
              <w:t>Resumo</w:t>
            </w:r>
          </w:p>
        </w:tc>
        <w:tc>
          <w:tcPr>
            <w:tcW w:type="dxa" w:w="3135"/>
          </w:tcPr>
          <w:p>
            <w:r>
              <w:t>Aplicação prática</w:t>
            </w:r>
          </w:p>
        </w:tc>
      </w:tr>
      <w:tr>
        <w:tc>
          <w:tcPr>
            <w:tcW w:type="dxa" w:w="3135"/>
          </w:tcPr>
          <w:p>
            <w:r>
              <w:t>Choque único</w:t>
            </w:r>
          </w:p>
        </w:tc>
        <w:tc>
          <w:tcPr>
            <w:tcW w:type="dxa" w:w="3135"/>
          </w:tcPr>
          <w:p>
            <w:r>
              <w:t>Menos interrupções, melhor fluxo de RCP.</w:t>
            </w:r>
          </w:p>
        </w:tc>
        <w:tc>
          <w:tcPr>
            <w:tcW w:type="dxa" w:w="3135"/>
          </w:tcPr>
          <w:p>
            <w:r>
              <w:t>Retomar compressões imediatamente após o choque.</w:t>
            </w:r>
          </w:p>
        </w:tc>
      </w:tr>
      <w:tr>
        <w:tc>
          <w:tcPr>
            <w:tcW w:type="dxa" w:w="3135"/>
          </w:tcPr>
          <w:p>
            <w:r>
              <w:t>Bifásico vs Monofásico</w:t>
            </w:r>
          </w:p>
        </w:tc>
        <w:tc>
          <w:tcPr>
            <w:tcW w:type="dxa" w:w="3135"/>
          </w:tcPr>
          <w:p>
            <w:r>
              <w:t>Bifásico preferível.</w:t>
            </w:r>
          </w:p>
        </w:tc>
        <w:tc>
          <w:tcPr>
            <w:tcW w:type="dxa" w:w="3135"/>
          </w:tcPr>
          <w:p>
            <w:r>
              <w:t>Usar energia conforme fabricante; manter boa aderência dos eletrodos.</w:t>
            </w:r>
          </w:p>
        </w:tc>
      </w:tr>
      <w:tr>
        <w:tc>
          <w:tcPr>
            <w:tcW w:type="dxa" w:w="3135"/>
          </w:tcPr>
          <w:p>
            <w:r>
              <w:t>Escalonar energia</w:t>
            </w:r>
          </w:p>
        </w:tc>
        <w:tc>
          <w:tcPr>
            <w:tcW w:type="dxa" w:w="3135"/>
          </w:tcPr>
          <w:p>
            <w:r>
              <w:t>Pode ser considerado se choque inicial falhar.</w:t>
            </w:r>
          </w:p>
        </w:tc>
        <w:tc>
          <w:tcPr>
            <w:tcW w:type="dxa" w:w="3135"/>
          </w:tcPr>
          <w:p>
            <w:r>
              <w:t>Ajustar segundo o equipamento e resposta do ritmo.</w:t>
            </w:r>
          </w:p>
        </w:tc>
      </w:tr>
    </w:tbl>
    <w:p>
      <w:r>
        <w:br w:type="page"/>
      </w:r>
    </w:p>
    <w:p>
      <w:pPr>
        <w:pStyle w:val="Heading1"/>
      </w:pPr>
      <w:r>
        <w:t>Capítulo 3 — Cuidados Pós‑Parada (Adulto)</w:t>
      </w:r>
    </w:p>
    <w:p>
      <w:pPr>
        <w:pStyle w:val="Heading2"/>
      </w:pPr>
      <w:r>
        <w:t>Primeiras horas após ROSC — metas e cuidados</w:t>
      </w:r>
    </w:p>
    <w:p>
      <w:pPr>
        <w:pStyle w:val="ListBullet"/>
      </w:pPr>
      <w:r>
        <w:t>Oxigenação: evitar hipoxemia e hiperóxia; titular FiO₂ para SpO₂ 90–98%.</w:t>
      </w:r>
    </w:p>
    <w:p>
      <w:pPr>
        <w:pStyle w:val="ListBullet"/>
      </w:pPr>
      <w:r>
        <w:t>Ventilação: manter PaCO₂ na faixa normal (≈35–45 mmHg).</w:t>
      </w:r>
    </w:p>
    <w:p>
      <w:pPr>
        <w:pStyle w:val="ListBullet"/>
      </w:pPr>
      <w:r>
        <w:t>Pressão arterial: evitar hipotensão; manter PAM ≥65 mmHg (pode individualizar).</w:t>
      </w:r>
    </w:p>
    <w:p>
      <w:pPr>
        <w:pStyle w:val="ListBullet"/>
      </w:pPr>
      <w:r>
        <w:t>Controle de temperatura: manter controle por pelo menos 36 horas em não responsivos.</w:t>
      </w:r>
    </w:p>
    <w:p>
      <w:pPr>
        <w:pStyle w:val="ListBullet"/>
      </w:pPr>
      <w:r>
        <w:t>Diagnóstico: ECG de 12 derivações, TC conforme contexto, ecocardiografia à beira‑leito.</w:t>
      </w:r>
    </w:p>
    <w:p>
      <w:pPr>
        <w:pStyle w:val="ListBullet"/>
      </w:pPr>
      <w:r>
        <w:t>Convulsões/mioclonias: monitorização EEG; tratar padrões da zona ictal‑interictal quando pertinente.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  <w:p/>
          <w:p/>
        </w:tc>
      </w:tr>
    </w:tbl>
    <w:p>
      <w:pPr>
        <w:jc w:val="center"/>
      </w:pPr>
      <w:r>
        <w:rPr>
          <w:i/>
        </w:rPr>
        <w:t>Inserir ALGORITMO AHA 2025 — Adult Post–Cardiac Arrest Care. Fonte: AHA 2025, Part 11.</w:t>
      </w:r>
    </w:p>
    <w:p>
      <w:pPr>
        <w:pStyle w:val="Heading3"/>
      </w:pPr>
      <w:r>
        <w:t>ECG após ROSC — reduzir falsos‑positivos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Cenário</w:t>
            </w:r>
          </w:p>
        </w:tc>
        <w:tc>
          <w:tcPr>
            <w:tcW w:type="dxa" w:w="3135"/>
          </w:tcPr>
          <w:p>
            <w:r>
              <w:t>Risco</w:t>
            </w:r>
          </w:p>
        </w:tc>
        <w:tc>
          <w:tcPr>
            <w:tcW w:type="dxa" w:w="3135"/>
          </w:tcPr>
          <w:p>
            <w:r>
              <w:t>Estratégia pragmática</w:t>
            </w:r>
          </w:p>
        </w:tc>
      </w:tr>
      <w:tr>
        <w:tc>
          <w:tcPr>
            <w:tcW w:type="dxa" w:w="3135"/>
          </w:tcPr>
          <w:p>
            <w:r>
              <w:t>ECG muito precoce (≤7 min pós‑ROSC)</w:t>
            </w:r>
          </w:p>
        </w:tc>
        <w:tc>
          <w:tcPr>
            <w:tcW w:type="dxa" w:w="3135"/>
          </w:tcPr>
          <w:p>
            <w:r>
              <w:t>Maior chance de falso‑positivo para STEMI.</w:t>
            </w:r>
          </w:p>
        </w:tc>
        <w:tc>
          <w:tcPr>
            <w:tcW w:type="dxa" w:w="3135"/>
          </w:tcPr>
          <w:p>
            <w:r>
              <w:t>Se ST↑ precoce, repetir ECG após 10–30 min mantendo suporte.</w:t>
            </w:r>
          </w:p>
        </w:tc>
      </w:tr>
      <w:tr>
        <w:tc>
          <w:tcPr>
            <w:tcW w:type="dxa" w:w="3135"/>
          </w:tcPr>
          <w:p>
            <w:r>
              <w:t>Sem ST↑ no 1º ECG</w:t>
            </w:r>
          </w:p>
        </w:tc>
        <w:tc>
          <w:tcPr>
            <w:tcW w:type="dxa" w:w="3135"/>
          </w:tcPr>
          <w:p>
            <w:r>
              <w:t>Pode haver coronária culpada mesmo assim.</w:t>
            </w:r>
          </w:p>
        </w:tc>
        <w:tc>
          <w:tcPr>
            <w:tcW w:type="dxa" w:w="3135"/>
          </w:tcPr>
          <w:p>
            <w:r>
              <w:t>Avaliar clinicamente, repetir ECG, considerar coronariografia conforme quadro.</w:t>
            </w:r>
          </w:p>
        </w:tc>
      </w:tr>
    </w:tbl>
    <w:p>
      <w:pPr>
        <w:pStyle w:val="Heading3"/>
      </w:pPr>
      <w:r>
        <w:t>Capnografia na RCP e Pós‑ROSC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</w:tc>
      </w:tr>
    </w:tbl>
    <w:p>
      <w:pPr>
        <w:jc w:val="center"/>
      </w:pPr>
      <w:r>
        <w:rPr>
          <w:i/>
        </w:rPr>
        <w:t>Figura — Capnografia normal (ETCO₂). Inserir imagem do material AHA 2025, se disponível.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</w:tc>
      </w:tr>
    </w:tbl>
    <w:p>
      <w:pPr>
        <w:jc w:val="center"/>
      </w:pPr>
      <w:r>
        <w:rPr>
          <w:i/>
        </w:rPr>
        <w:t>Figura — 'Salto' do ETCO₂ sugerindo ROSC durante RCP. Inserir imagem do material AHA 2025, se disponível.</w:t>
      </w:r>
    </w:p>
    <w:p>
      <w:r>
        <w:br w:type="page"/>
      </w:r>
    </w:p>
    <w:p>
      <w:pPr>
        <w:pStyle w:val="Heading1"/>
      </w:pPr>
      <w:r>
        <w:t>Capítulo 4 — Outros</w:t>
      </w:r>
    </w:p>
    <w:p>
      <w:pPr>
        <w:pStyle w:val="Heading2"/>
      </w:pPr>
      <w:r>
        <w:t>Benchmarking de desempenho</w:t>
      </w:r>
    </w:p>
    <w:tbl>
      <w:tblPr>
        <w:tblStyle w:val="ColorfulList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Domínio</w:t>
            </w:r>
          </w:p>
        </w:tc>
        <w:tc>
          <w:tcPr>
            <w:tcW w:type="dxa" w:w="2351"/>
          </w:tcPr>
          <w:p>
            <w:r>
              <w:t>Indicador</w:t>
            </w:r>
          </w:p>
        </w:tc>
        <w:tc>
          <w:tcPr>
            <w:tcW w:type="dxa" w:w="2351"/>
          </w:tcPr>
          <w:p>
            <w:r>
              <w:t>Meta</w:t>
            </w:r>
          </w:p>
        </w:tc>
        <w:tc>
          <w:tcPr>
            <w:tcW w:type="dxa" w:w="2351"/>
          </w:tcPr>
          <w:p>
            <w:r>
              <w:t>Observações</w:t>
            </w:r>
          </w:p>
        </w:tc>
      </w:tr>
      <w:tr>
        <w:tc>
          <w:tcPr>
            <w:tcW w:type="dxa" w:w="2351"/>
          </w:tcPr>
          <w:p>
            <w:r>
              <w:t>Cadeia de Sobrevivência</w:t>
            </w:r>
          </w:p>
        </w:tc>
        <w:tc>
          <w:tcPr>
            <w:tcW w:type="dxa" w:w="2351"/>
          </w:tcPr>
          <w:p>
            <w:r>
              <w:t>RCP por testemunha</w:t>
            </w:r>
          </w:p>
        </w:tc>
        <w:tc>
          <w:tcPr>
            <w:tcW w:type="dxa" w:w="2351"/>
          </w:tcPr>
          <w:p>
            <w:r>
              <w:t>≥50% (meta AHA 2030)</w:t>
            </w:r>
          </w:p>
        </w:tc>
        <w:tc>
          <w:tcPr>
            <w:tcW w:type="dxa" w:w="2351"/>
          </w:tcPr>
          <w:p>
            <w:r>
              <w:t>Educação comunitária e T‑CPR.</w:t>
            </w:r>
          </w:p>
        </w:tc>
      </w:tr>
      <w:tr>
        <w:tc>
          <w:tcPr>
            <w:tcW w:type="dxa" w:w="2351"/>
          </w:tcPr>
          <w:p>
            <w:r>
              <w:t>Desfibrilação</w:t>
            </w:r>
          </w:p>
        </w:tc>
        <w:tc>
          <w:tcPr>
            <w:tcW w:type="dxa" w:w="2351"/>
          </w:tcPr>
          <w:p>
            <w:r>
              <w:t>Tempo ao 1º choque (público)</w:t>
            </w:r>
          </w:p>
        </w:tc>
        <w:tc>
          <w:tcPr>
            <w:tcW w:type="dxa" w:w="2351"/>
          </w:tcPr>
          <w:p>
            <w:r>
              <w:t>&lt;=3–5 min</w:t>
            </w:r>
          </w:p>
        </w:tc>
        <w:tc>
          <w:tcPr>
            <w:tcW w:type="dxa" w:w="2351"/>
          </w:tcPr>
          <w:p>
            <w:r>
              <w:t>PAD/AED acessível e mapeado.</w:t>
            </w:r>
          </w:p>
        </w:tc>
      </w:tr>
      <w:tr>
        <w:tc>
          <w:tcPr>
            <w:tcW w:type="dxa" w:w="2351"/>
          </w:tcPr>
          <w:p>
            <w:r>
              <w:t>Qualidade de RCP</w:t>
            </w:r>
          </w:p>
        </w:tc>
        <w:tc>
          <w:tcPr>
            <w:tcW w:type="dxa" w:w="2351"/>
          </w:tcPr>
          <w:p>
            <w:r>
              <w:t>Frações de compressão (CCF)</w:t>
            </w:r>
          </w:p>
        </w:tc>
        <w:tc>
          <w:tcPr>
            <w:tcW w:type="dxa" w:w="2351"/>
          </w:tcPr>
          <w:p>
            <w:r>
              <w:t>≥80%</w:t>
            </w:r>
          </w:p>
        </w:tc>
        <w:tc>
          <w:tcPr>
            <w:tcW w:type="dxa" w:w="2351"/>
          </w:tcPr>
          <w:p>
            <w:r>
              <w:t>Minimizar pausas; treino com feedback.</w:t>
            </w:r>
          </w:p>
        </w:tc>
      </w:tr>
      <w:tr>
        <w:tc>
          <w:tcPr>
            <w:tcW w:type="dxa" w:w="2351"/>
          </w:tcPr>
          <w:p>
            <w:r>
              <w:t>PCAC</w:t>
            </w:r>
          </w:p>
        </w:tc>
        <w:tc>
          <w:tcPr>
            <w:tcW w:type="dxa" w:w="2351"/>
          </w:tcPr>
          <w:p>
            <w:r>
              <w:t>PAM inicial</w:t>
            </w:r>
          </w:p>
        </w:tc>
        <w:tc>
          <w:tcPr>
            <w:tcW w:type="dxa" w:w="2351"/>
          </w:tcPr>
          <w:p>
            <w:r>
              <w:t>≥65 mmHg</w:t>
            </w:r>
          </w:p>
        </w:tc>
        <w:tc>
          <w:tcPr>
            <w:tcW w:type="dxa" w:w="2351"/>
          </w:tcPr>
          <w:p>
            <w:r>
              <w:t>Individualizar conforme autoregulação cerebral.</w:t>
            </w:r>
          </w:p>
        </w:tc>
      </w:tr>
      <w:tr>
        <w:tc>
          <w:tcPr>
            <w:tcW w:type="dxa" w:w="2351"/>
          </w:tcPr>
          <w:p>
            <w:r>
              <w:t>PCAC</w:t>
            </w:r>
          </w:p>
        </w:tc>
        <w:tc>
          <w:tcPr>
            <w:tcW w:type="dxa" w:w="2351"/>
          </w:tcPr>
          <w:p>
            <w:r>
              <w:t>SpO₂</w:t>
            </w:r>
          </w:p>
        </w:tc>
        <w:tc>
          <w:tcPr>
            <w:tcW w:type="dxa" w:w="2351"/>
          </w:tcPr>
          <w:p>
            <w:r>
              <w:t>90–98%</w:t>
            </w:r>
          </w:p>
        </w:tc>
        <w:tc>
          <w:tcPr>
            <w:tcW w:type="dxa" w:w="2351"/>
          </w:tcPr>
          <w:p>
            <w:r>
              <w:t>Evitar hiperóxia.</w:t>
            </w:r>
          </w:p>
        </w:tc>
      </w:tr>
    </w:tbl>
    <w:p>
      <w:pPr>
        <w:pStyle w:val="Heading2"/>
      </w:pPr>
      <w:r>
        <w:t>Tabela de fármacos (preencher segundo protocolo institucional/AHA 2025)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Situação</w:t>
            </w:r>
          </w:p>
        </w:tc>
        <w:tc>
          <w:tcPr>
            <w:tcW w:type="dxa" w:w="1881"/>
          </w:tcPr>
          <w:p>
            <w:r>
              <w:t>Medicamento</w:t>
            </w:r>
          </w:p>
        </w:tc>
        <w:tc>
          <w:tcPr>
            <w:tcW w:type="dxa" w:w="1881"/>
          </w:tcPr>
          <w:p>
            <w:r>
              <w:t>Dose sugerida</w:t>
            </w:r>
          </w:p>
        </w:tc>
        <w:tc>
          <w:tcPr>
            <w:tcW w:type="dxa" w:w="1881"/>
          </w:tcPr>
          <w:p>
            <w:r>
              <w:t>Via</w:t>
            </w:r>
          </w:p>
        </w:tc>
        <w:tc>
          <w:tcPr>
            <w:tcW w:type="dxa" w:w="1881"/>
          </w:tcPr>
          <w:p>
            <w:r>
              <w:t>Observações</w:t>
            </w:r>
          </w:p>
        </w:tc>
      </w:tr>
      <w:tr>
        <w:tc>
          <w:tcPr>
            <w:tcW w:type="dxa" w:w="1881"/>
          </w:tcPr>
          <w:p>
            <w:r>
              <w:t>PCR choque‑refratária</w:t>
            </w:r>
          </w:p>
        </w:tc>
        <w:tc>
          <w:tcPr>
            <w:tcW w:type="dxa" w:w="1881"/>
          </w:tcPr>
          <w:p>
            <w:r>
              <w:t>Amiodarona / Lidocaína</w:t>
            </w:r>
          </w:p>
        </w:tc>
        <w:tc>
          <w:tcPr>
            <w:tcW w:type="dxa" w:w="1881"/>
          </w:tcPr>
          <w:p>
            <w:r>
              <w:t>Conforme AHA/Protocolo</w:t>
            </w:r>
          </w:p>
        </w:tc>
        <w:tc>
          <w:tcPr>
            <w:tcW w:type="dxa" w:w="1881"/>
          </w:tcPr>
          <w:p>
            <w:r>
              <w:t>IV/IO</w:t>
            </w:r>
          </w:p>
        </w:tc>
        <w:tc>
          <w:tcPr>
            <w:tcW w:type="dxa" w:w="1881"/>
          </w:tcPr>
          <w:p>
            <w:r>
              <w:t>Escolha conforme disponibilidade e perfil do doente.</w:t>
            </w:r>
          </w:p>
        </w:tc>
      </w:tr>
      <w:tr>
        <w:tc>
          <w:tcPr>
            <w:tcW w:type="dxa" w:w="1881"/>
          </w:tcPr>
          <w:p>
            <w:r>
              <w:t>PCR (qualquer ritmo)</w:t>
            </w:r>
          </w:p>
        </w:tc>
        <w:tc>
          <w:tcPr>
            <w:tcW w:type="dxa" w:w="1881"/>
          </w:tcPr>
          <w:p>
            <w:r>
              <w:t>Adrenalina</w:t>
            </w:r>
          </w:p>
        </w:tc>
        <w:tc>
          <w:tcPr>
            <w:tcW w:type="dxa" w:w="1881"/>
          </w:tcPr>
          <w:p>
            <w:r>
              <w:t>Conforme AHA/Protocolo</w:t>
            </w:r>
          </w:p>
        </w:tc>
        <w:tc>
          <w:tcPr>
            <w:tcW w:type="dxa" w:w="1881"/>
          </w:tcPr>
          <w:p>
            <w:r>
              <w:t>IV/IO</w:t>
            </w:r>
          </w:p>
        </w:tc>
        <w:tc>
          <w:tcPr>
            <w:tcW w:type="dxa" w:w="1881"/>
          </w:tcPr>
          <w:p>
            <w:r>
              <w:t>Respeitar intervalos; não atrasar choque.</w:t>
            </w:r>
          </w:p>
        </w:tc>
      </w:tr>
      <w:tr>
        <w:tc>
          <w:tcPr>
            <w:tcW w:type="dxa" w:w="1881"/>
          </w:tcPr>
          <w:p>
            <w:r>
              <w:t>TdP / QT longo</w:t>
            </w:r>
          </w:p>
        </w:tc>
        <w:tc>
          <w:tcPr>
            <w:tcW w:type="dxa" w:w="1881"/>
          </w:tcPr>
          <w:p>
            <w:r>
              <w:t>Magnésio</w:t>
            </w:r>
          </w:p>
        </w:tc>
        <w:tc>
          <w:tcPr>
            <w:tcW w:type="dxa" w:w="1881"/>
          </w:tcPr>
          <w:p>
            <w:r>
              <w:t>Conforme AHA/Protocolo</w:t>
            </w:r>
          </w:p>
        </w:tc>
        <w:tc>
          <w:tcPr>
            <w:tcW w:type="dxa" w:w="1881"/>
          </w:tcPr>
          <w:p>
            <w:r>
              <w:t>IV</w:t>
            </w:r>
          </w:p>
        </w:tc>
        <w:tc>
          <w:tcPr>
            <w:tcW w:type="dxa" w:w="1881"/>
          </w:tcPr>
          <w:p>
            <w:r>
              <w:t>Útil em TdP e hipomagnesemia.</w:t>
            </w:r>
          </w:p>
        </w:tc>
      </w:tr>
      <w:tr>
        <w:tc>
          <w:tcPr>
            <w:tcW w:type="dxa" w:w="1881"/>
          </w:tcPr>
          <w:p>
            <w:r>
              <w:t>Pós‑ROSC com choque cardiogênico</w:t>
            </w:r>
          </w:p>
        </w:tc>
        <w:tc>
          <w:tcPr>
            <w:tcW w:type="dxa" w:w="1881"/>
          </w:tcPr>
          <w:p>
            <w:r>
              <w:t>MCS/ECMO</w:t>
            </w:r>
          </w:p>
        </w:tc>
        <w:tc>
          <w:tcPr>
            <w:tcW w:type="dxa" w:w="1881"/>
          </w:tcPr>
          <w:p>
            <w:r>
              <w:t>Seleção específica</w:t>
            </w:r>
          </w:p>
        </w:tc>
        <w:tc>
          <w:tcPr>
            <w:tcW w:type="dxa" w:w="1881"/>
          </w:tcPr>
          <w:p>
            <w:r>
              <w:t>-</w:t>
            </w:r>
          </w:p>
        </w:tc>
        <w:tc>
          <w:tcPr>
            <w:tcW w:type="dxa" w:w="1881"/>
          </w:tcPr>
          <w:p>
            <w:r>
              <w:t>Centro com SOC para ECPR/MCS.</w:t>
            </w:r>
          </w:p>
        </w:tc>
      </w:tr>
    </w:tbl>
    <w:p>
      <w:pPr>
        <w:pStyle w:val="Heading2"/>
      </w:pPr>
      <w:r>
        <w:t>Erros comuns que custam sobrevida (checklist)</w:t>
      </w:r>
    </w:p>
    <w:p>
      <w:pPr>
        <w:pStyle w:val="ListBullet"/>
      </w:pPr>
      <w:r>
        <w:t>Interrupções frequentes/longas nas compressões.</w:t>
      </w:r>
    </w:p>
    <w:p>
      <w:pPr>
        <w:pStyle w:val="ListBullet"/>
      </w:pPr>
      <w:r>
        <w:t>Choque em atraso apesar de ritmo chocável.</w:t>
      </w:r>
    </w:p>
    <w:p>
      <w:pPr>
        <w:pStyle w:val="ListBullet"/>
      </w:pPr>
      <w:r>
        <w:t>Hiperventilação e hiperóxia pós‑ROSC.</w:t>
      </w:r>
    </w:p>
    <w:p>
      <w:pPr>
        <w:pStyle w:val="ListBullet"/>
      </w:pPr>
      <w:r>
        <w:t>Não tratar hipotensão sustentada (PAM &lt;65 mmHg).</w:t>
      </w:r>
    </w:p>
    <w:p>
      <w:pPr>
        <w:pStyle w:val="ListBullet"/>
      </w:pPr>
      <w:r>
        <w:t>Interpretar ECG muito precoce como diagnóstico definitivo de STEMI pós‑ROSC.</w:t>
      </w:r>
    </w:p>
    <w:p>
      <w:pPr>
        <w:pStyle w:val="Heading3"/>
      </w:pPr>
      <w:r>
        <w:t>Capnografia — figuras para inserir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</w:tc>
      </w:tr>
    </w:tbl>
    <w:p>
      <w:pPr>
        <w:jc w:val="center"/>
      </w:pPr>
      <w:r>
        <w:rPr>
          <w:i/>
        </w:rPr>
        <w:t>Figura: Capnografia normal — inserir imagem do documento AHA 2025 ou espaço reservado.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</w:tc>
      </w:tr>
    </w:tbl>
    <w:p>
      <w:pPr>
        <w:jc w:val="center"/>
      </w:pPr>
      <w:r>
        <w:rPr>
          <w:i/>
        </w:rPr>
        <w:t>Figura: ETCO₂ com 'salto' de ROSC — inserir imagem do documento AHA 2025 ou espaço reservado.</w:t>
      </w:r>
    </w:p>
    <w:p>
      <w:r>
        <w:br w:type="page"/>
      </w:r>
    </w:p>
    <w:p>
      <w:pPr>
        <w:pStyle w:val="Heading1"/>
      </w:pPr>
      <w:r>
        <w:t>Apêndice — Revisão Teórica (Opcional para estudo aprofundado)</w:t>
      </w:r>
    </w:p>
    <w:p>
      <w:pPr>
        <w:pStyle w:val="Heading2"/>
      </w:pPr>
      <w:r>
        <w:t>Epidemiologia e Cadeia de Sobrevivência</w:t>
      </w:r>
    </w:p>
    <w:p>
      <w:r>
        <w:t>Resumo atualizado de incidência/Desfechos em OHCA/IHCA, impacto do local (residência vs público), e iniciativas para aumentar RCP por leigos e acesso a desfibrilação.</w:t>
      </w:r>
    </w:p>
    <w:p>
      <w:pPr>
        <w:pStyle w:val="Heading2"/>
      </w:pPr>
      <w:r>
        <w:t>Fisiologia da RCP de alta qualidade</w:t>
      </w:r>
    </w:p>
    <w:p>
      <w:r>
        <w:t>Perfusão coronária/cerebral, fração de compressões, profundidade e taxa, por que minimizar interrupções, ETCO₂ como sinal vital da RCP.</w:t>
      </w:r>
    </w:p>
    <w:p>
      <w:pPr>
        <w:pStyle w:val="Heading2"/>
      </w:pPr>
      <w:r>
        <w:t>Desfibrilação — ciência por trás das recomendações</w:t>
      </w:r>
    </w:p>
    <w:p>
      <w:r>
        <w:t>Bifásico vs monofásico, choque único, energia e contato; por que 'stacked shocks' saíram; evidências sobre estratégias de energia.</w:t>
      </w:r>
    </w:p>
    <w:p>
      <w:pPr>
        <w:pStyle w:val="Heading2"/>
      </w:pPr>
      <w:r>
        <w:t>Pós‑parada — metas de oxigenação e ventilação</w:t>
      </w:r>
    </w:p>
    <w:p>
      <w:r>
        <w:t>Risco da hiperóxia/hipóxia, alvos práticos (SpO₂ 90–98%, PaCO₂ 35–45 mmHg) e limitações do oxímetro em peles mais escuras.</w:t>
      </w:r>
    </w:p>
    <w:p>
      <w:pPr>
        <w:pStyle w:val="Heading2"/>
      </w:pPr>
      <w:r>
        <w:t>ECG e coronariografia pós‑ROSC</w:t>
      </w:r>
    </w:p>
    <w:p>
      <w:r>
        <w:t>Falsos positivos quando muito cedo; repetir ECG e integrar com quadro clínico; quando e por que considerar TC/Ecocardiograma/Angio.</w:t>
      </w:r>
    </w:p>
    <w:p>
      <w:pPr>
        <w:pStyle w:val="Heading2"/>
      </w:pPr>
      <w:r>
        <w:t>Educação e Sistemas de Cuidados</w:t>
      </w:r>
    </w:p>
    <w:p>
      <w:r>
        <w:t>Meta‑aprendizado (feedback devices), RCDP, hot/cold debriefing, T‑CPR, e por que RCP em cena geralmente supera transporte com RCP em andamento.</w:t>
      </w:r>
    </w:p>
    <w:p>
      <w:pPr>
        <w:pStyle w:val="Heading3"/>
      </w:pPr>
      <w:r>
        <w:t>Quadro — Metas &amp; Números‑chave (Adultos)</w:t>
      </w:r>
    </w:p>
    <w:tbl>
      <w:tblPr>
        <w:tblStyle w:val="LightShading-Accent5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Tema</w:t>
            </w:r>
          </w:p>
        </w:tc>
        <w:tc>
          <w:tcPr>
            <w:tcW w:type="dxa" w:w="3135"/>
          </w:tcPr>
          <w:p>
            <w:r>
              <w:t>Alvo/Número</w:t>
            </w:r>
          </w:p>
        </w:tc>
        <w:tc>
          <w:tcPr>
            <w:tcW w:type="dxa" w:w="3135"/>
          </w:tcPr>
          <w:p>
            <w:r>
              <w:t>Fonte AHA 2025</w:t>
            </w:r>
          </w:p>
        </w:tc>
      </w:tr>
      <w:tr>
        <w:tc>
          <w:tcPr>
            <w:tcW w:type="dxa" w:w="3135"/>
          </w:tcPr>
          <w:p>
            <w:r>
              <w:t>Sobrevida OHCA (adulto)</w:t>
            </w:r>
          </w:p>
        </w:tc>
        <w:tc>
          <w:tcPr>
            <w:tcW w:type="dxa" w:w="3135"/>
          </w:tcPr>
          <w:p>
            <w:r>
              <w:t>≈10,5% (alta hospitalar)</w:t>
            </w:r>
          </w:p>
        </w:tc>
        <w:tc>
          <w:tcPr>
            <w:tcW w:type="dxa" w:w="3135"/>
          </w:tcPr>
          <w:p>
            <w:r>
              <w:t>Exec. Summary 2025</w:t>
            </w:r>
          </w:p>
        </w:tc>
      </w:tr>
      <w:tr>
        <w:tc>
          <w:tcPr>
            <w:tcW w:type="dxa" w:w="3135"/>
          </w:tcPr>
          <w:p>
            <w:r>
              <w:t>Sobrevida IHCA (adulto)</w:t>
            </w:r>
          </w:p>
        </w:tc>
        <w:tc>
          <w:tcPr>
            <w:tcW w:type="dxa" w:w="3135"/>
          </w:tcPr>
          <w:p>
            <w:r>
              <w:t>≈23,6% (alta hospitalar)</w:t>
            </w:r>
          </w:p>
        </w:tc>
        <w:tc>
          <w:tcPr>
            <w:tcW w:type="dxa" w:w="3135"/>
          </w:tcPr>
          <w:p>
            <w:r>
              <w:t>Exec. Summary 2025</w:t>
            </w:r>
          </w:p>
        </w:tc>
      </w:tr>
      <w:tr>
        <w:tc>
          <w:tcPr>
            <w:tcW w:type="dxa" w:w="3135"/>
          </w:tcPr>
          <w:p>
            <w:r>
              <w:t>SpO₂ pós‑ROSC</w:t>
            </w:r>
          </w:p>
        </w:tc>
        <w:tc>
          <w:tcPr>
            <w:tcW w:type="dxa" w:w="3135"/>
          </w:tcPr>
          <w:p>
            <w:r>
              <w:t>90–98%</w:t>
            </w:r>
          </w:p>
        </w:tc>
        <w:tc>
          <w:tcPr>
            <w:tcW w:type="dxa" w:w="3135"/>
          </w:tcPr>
          <w:p>
            <w:r>
              <w:t>PCAC 2025</w:t>
            </w:r>
          </w:p>
        </w:tc>
      </w:tr>
      <w:tr>
        <w:tc>
          <w:tcPr>
            <w:tcW w:type="dxa" w:w="3135"/>
          </w:tcPr>
          <w:p>
            <w:r>
              <w:t>PAM pós‑ROSC</w:t>
            </w:r>
          </w:p>
        </w:tc>
        <w:tc>
          <w:tcPr>
            <w:tcW w:type="dxa" w:w="3135"/>
          </w:tcPr>
          <w:p>
            <w:r>
              <w:t>≥65 mmHg</w:t>
            </w:r>
          </w:p>
        </w:tc>
        <w:tc>
          <w:tcPr>
            <w:tcW w:type="dxa" w:w="3135"/>
          </w:tcPr>
          <w:p>
            <w:r>
              <w:t>PCAC 2025</w:t>
            </w:r>
          </w:p>
        </w:tc>
      </w:tr>
      <w:tr>
        <w:tc>
          <w:tcPr>
            <w:tcW w:type="dxa" w:w="3135"/>
          </w:tcPr>
          <w:p>
            <w:r>
              <w:t>RCP em cena (OHCA)</w:t>
            </w:r>
          </w:p>
        </w:tc>
        <w:tc>
          <w:tcPr>
            <w:tcW w:type="dxa" w:w="3135"/>
          </w:tcPr>
          <w:p>
            <w:r>
              <w:t>Preferível na maioria dos casos</w:t>
            </w:r>
          </w:p>
        </w:tc>
        <w:tc>
          <w:tcPr>
            <w:tcW w:type="dxa" w:w="3135"/>
          </w:tcPr>
          <w:p>
            <w:r>
              <w:t>SOC 2025</w:t>
            </w:r>
          </w:p>
        </w:tc>
      </w:tr>
    </w:tbl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br/>
              <w:br/>
              <w:t>[ ESPAÇO RESERVADO PARA FIGURA ]</w:t>
              <w:br/>
              <w:br/>
            </w:r>
          </w:p>
          <w:p/>
          <w:p/>
          <w:p/>
          <w:p/>
          <w:p/>
          <w:p/>
          <w:p/>
        </w:tc>
      </w:tr>
    </w:tbl>
    <w:p>
      <w:pPr>
        <w:jc w:val="center"/>
      </w:pPr>
      <w:r>
        <w:rPr>
          <w:i/>
        </w:rPr>
        <w:t>Inserir novamente os ALGORITMOS oficiais (BLS, ACLS circular, Pós‑ROSC) conforme AHA 2025 — espaço reservado.</w:t>
      </w:r>
    </w:p>
    <w:sectPr w:rsidR="00FC693F" w:rsidRPr="0006063C" w:rsidSect="00034616">
      <w:footerReference w:type="default" r:id="rId11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Elaborado por Lucas Peres Miachon com apoio do GPT‑5 Thinking — HC‑FMUSP • 2025 — Documento em construção: inserir algoritmos/figuras oficiais nos espaços reservados.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Elegant">
    <w:name w:val="Subtitle Elegant"/>
    <w:rPr>
      <w:rFonts w:ascii="Calibri Light" w:hAnsi="Calibri Light"/>
      <w:color w:val="5A5A5A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