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09" w:name="content"/>
    <w:bookmarkStart w:id="208" w:name="X9ea5a60f1de9aee569783124750b9e063a4646d"/>
    <w:p>
      <w:pPr>
        <w:pStyle w:val="Heading1"/>
      </w:pPr>
      <w:r>
        <w:t xml:space="preserve">Vitamin B12 Deficiency in Adults: A Comprehensive Review (2010–2025)</w:t>
      </w:r>
    </w:p>
    <w:bookmarkStart w:id="42" w:name="introduction"/>
    <w:p>
      <w:pPr>
        <w:pStyle w:val="Heading2"/>
      </w:pPr>
      <w:r>
        <w:t xml:space="preserve">Introduction</w:t>
      </w:r>
    </w:p>
    <w:p>
      <w:pPr>
        <w:pStyle w:val="FirstParagraph"/>
      </w:pPr>
      <w:r>
        <w:t xml:space="preserve">Vitamin B12 (cobalamin) is an essential water-soluble vitamin required for DNA synthesis, erythropoiesis, and neurological function. In human metabolism, B12 acts as a cofactor for methionine synthase (for homocysteine remethylation to methionine) and methylmalonyl-CoA mutase (for conversion of methylmalonyl-CoA to succinyl-CoA in the Krebs cycle)</w:t>
      </w:r>
      <w:hyperlink r:id="rId21">
        <w:r>
          <w:rPr>
            <w:rStyle w:val="Hyperlink"/>
          </w:rPr>
          <w:t xml:space="preserve">[1]</w:t>
        </w:r>
      </w:hyperlink>
      <w:hyperlink r:id="rId22">
        <w:r>
          <w:rPr>
            <w:rStyle w:val="Hyperlink"/>
          </w:rPr>
          <w:t xml:space="preserve">[2]</w:t>
        </w:r>
      </w:hyperlink>
      <w:r>
        <w:t xml:space="preserve">. Through these roles, B12 is critical for maintaining myelin integrity in the nervous system and normal hematopoiesis. Deficiency impairs these pathways, leading to elevated homocysteine and methylmalonic acid (MMA) levels and resulting in a spectrum of clinical manifestations affecting the blood, nervous system, and other tissues</w:t>
      </w:r>
      <w:hyperlink r:id="rId21">
        <w:r>
          <w:rPr>
            <w:rStyle w:val="Hyperlink"/>
          </w:rPr>
          <w:t xml:space="preserve">[1]</w:t>
        </w:r>
      </w:hyperlink>
      <w:hyperlink r:id="rId22">
        <w:r>
          <w:rPr>
            <w:rStyle w:val="Hyperlink"/>
          </w:rPr>
          <w:t xml:space="preserve">[2]</w:t>
        </w:r>
      </w:hyperlink>
      <w:r>
        <w:t xml:space="preserve">.</w:t>
      </w:r>
    </w:p>
    <w:p>
      <w:pPr>
        <w:pStyle w:val="BodyText"/>
      </w:pPr>
      <w:r>
        <w:rPr>
          <w:b/>
          <w:bCs/>
        </w:rPr>
        <w:t xml:space="preserve">Absorption and Metabolism:</w:t>
      </w:r>
      <w:r>
        <w:t xml:space="preserve"> </w:t>
      </w:r>
      <w:r>
        <w:t xml:space="preserve">Vitamin B12 is primarily obtained from animal-origin foods and undergoes a complex absorption process. In the stomach, dietary B12 is released from proteins by pepsin in the presence of gastric acid, then bound to salivary R-binder (haptocorrin). In the duodenum, pancreatic proteases degrade the R-binder, freeing B12 to then bind intrinsic factor (IF), a glycoprotein secreted by gastric parietal cells</w:t>
      </w:r>
      <w:hyperlink r:id="rId23">
        <w:r>
          <w:rPr>
            <w:rStyle w:val="Hyperlink"/>
          </w:rPr>
          <w:t xml:space="preserve">[3]</w:t>
        </w:r>
      </w:hyperlink>
      <w:hyperlink r:id="rId24">
        <w:r>
          <w:rPr>
            <w:rStyle w:val="Hyperlink"/>
          </w:rPr>
          <w:t xml:space="preserve">[4]</w:t>
        </w:r>
      </w:hyperlink>
      <w:r>
        <w:t xml:space="preserve">. The B12–IF complex is recognized in the terminal ileum by cubam receptors (composed of cubilin and amnionless), facilitating endocytosis into enterocytes</w:t>
      </w:r>
      <w:hyperlink r:id="rId23">
        <w:r>
          <w:rPr>
            <w:rStyle w:val="Hyperlink"/>
          </w:rPr>
          <w:t xml:space="preserve">[3]</w:t>
        </w:r>
      </w:hyperlink>
      <w:r>
        <w:t xml:space="preserve">. Inside cells, B12 is released and transferred to transcobalamin II for export into plasma as holotranscobalamin (holoTC, the “active” B12 fraction delivered to tissues)</w:t>
      </w:r>
      <w:hyperlink r:id="rId25">
        <w:r>
          <w:rPr>
            <w:rStyle w:val="Hyperlink"/>
          </w:rPr>
          <w:t xml:space="preserve">[5]</w:t>
        </w:r>
      </w:hyperlink>
      <w:hyperlink r:id="rId26">
        <w:r>
          <w:rPr>
            <w:rStyle w:val="Hyperlink"/>
          </w:rPr>
          <w:t xml:space="preserve">[6]</w:t>
        </w:r>
      </w:hyperlink>
      <w:r>
        <w:t xml:space="preserve">. Peripheral utilization requires cellular uptake via transcobalamin receptors and lysosomal processing to a common cobalamin form, which is then converted to the active coenzyme forms (methylcobalamin and adenosylcobalamin) inside cells</w:t>
      </w:r>
      <w:hyperlink r:id="rId27">
        <w:r>
          <w:rPr>
            <w:rStyle w:val="Hyperlink"/>
          </w:rPr>
          <w:t xml:space="preserve">[7]</w:t>
        </w:r>
      </w:hyperlink>
      <w:hyperlink r:id="rId28">
        <w:r>
          <w:rPr>
            <w:rStyle w:val="Hyperlink"/>
          </w:rPr>
          <w:t xml:space="preserve">[8]</w:t>
        </w:r>
      </w:hyperlink>
      <w:r>
        <w:t xml:space="preserve">. Notably, all cobalamin forms from diet or supplements are metabolized to the same two active forms; the specific ligand (cyano-, methyl-, adenosyl-, or hydroxo-) attached to the cobalamin is removed during intracellular processing</w:t>
      </w:r>
      <w:hyperlink r:id="rId27">
        <w:r>
          <w:rPr>
            <w:rStyle w:val="Hyperlink"/>
          </w:rPr>
          <w:t xml:space="preserve">[7]</w:t>
        </w:r>
      </w:hyperlink>
      <w:hyperlink r:id="rId29">
        <w:r>
          <w:rPr>
            <w:rStyle w:val="Hyperlink"/>
          </w:rPr>
          <w:t xml:space="preserve">[9]</w:t>
        </w:r>
      </w:hyperlink>
      <w:r>
        <w:t xml:space="preserve">. This means that regardless of whether B12 is ingested as cyanocobalamin, hydroxocobalamin, or a coenzyme form, it will be converted to the needed active cofactors in roughly the same proportions</w:t>
      </w:r>
      <w:hyperlink r:id="rId27">
        <w:r>
          <w:rPr>
            <w:rStyle w:val="Hyperlink"/>
          </w:rPr>
          <w:t xml:space="preserve">[7]</w:t>
        </w:r>
      </w:hyperlink>
      <w:hyperlink r:id="rId29">
        <w:r>
          <w:rPr>
            <w:rStyle w:val="Hyperlink"/>
          </w:rPr>
          <w:t xml:space="preserve">[9]</w:t>
        </w:r>
      </w:hyperlink>
      <w:r>
        <w:t xml:space="preserve">.</w:t>
      </w:r>
    </w:p>
    <w:p>
      <w:pPr>
        <w:pStyle w:val="BodyText"/>
      </w:pPr>
      <w:r>
        <w:rPr>
          <w:b/>
          <w:bCs/>
        </w:rPr>
        <w:t xml:space="preserve">Storage:</w:t>
      </w:r>
      <w:r>
        <w:t xml:space="preserve"> </w:t>
      </w:r>
      <w:r>
        <w:t xml:space="preserve">The liver is the main B12 reservoir, storing 1–2</w:t>
      </w:r>
      <w:r>
        <w:t xml:space="preserve"> </w:t>
      </w:r>
      <w:r>
        <w:rPr>
          <w:i/>
          <w:iCs/>
        </w:rPr>
        <w:t xml:space="preserve">mg</w:t>
      </w:r>
      <w:r>
        <w:t xml:space="preserve"> </w:t>
      </w:r>
      <w:r>
        <w:t xml:space="preserve">total B12, sufficient for ~3–5 years if absorption ceases</w:t>
      </w:r>
      <w:hyperlink r:id="rId30">
        <w:r>
          <w:rPr>
            <w:rStyle w:val="Hyperlink"/>
          </w:rPr>
          <w:t xml:space="preserve">[10]</w:t>
        </w:r>
      </w:hyperlink>
      <w:hyperlink r:id="rId31">
        <w:r>
          <w:rPr>
            <w:rStyle w:val="Hyperlink"/>
          </w:rPr>
          <w:t xml:space="preserve">[11]</w:t>
        </w:r>
      </w:hyperlink>
      <w:r>
        <w:t xml:space="preserve">. B12 is conserved via enterohepatic circulation, but daily small losses (0.1–0.2% of body stores) occur via bile and urine. This long half-life means deficiency from poor intake develops insidiously over years. Nonetheless, deficiency can occur more acutely in the setting of malabsorption or certain exposures (e.g. nitrous oxide inactivation of B12 can precipitate acute deficiency symptoms despite normal stores)</w:t>
      </w:r>
      <w:hyperlink r:id="rId32">
        <w:r>
          <w:rPr>
            <w:rStyle w:val="Hyperlink"/>
          </w:rPr>
          <w:t xml:space="preserve">[12]</w:t>
        </w:r>
      </w:hyperlink>
      <w:hyperlink r:id="rId33">
        <w:r>
          <w:rPr>
            <w:rStyle w:val="Hyperlink"/>
          </w:rPr>
          <w:t xml:space="preserve">[13]</w:t>
        </w:r>
      </w:hyperlink>
      <w:r>
        <w:t xml:space="preserve">.</w:t>
      </w:r>
    </w:p>
    <w:p>
      <w:pPr>
        <w:pStyle w:val="BodyText"/>
      </w:pPr>
      <w:r>
        <w:rPr>
          <w:b/>
          <w:bCs/>
        </w:rPr>
        <w:t xml:space="preserve">Epidemiology:</w:t>
      </w:r>
      <w:r>
        <w:t xml:space="preserve"> </w:t>
      </w:r>
      <w:r>
        <w:t xml:space="preserve">Vitamin B12 deficiency is a common disorder worldwide, especially among older adults. Globally, the prevalence of frank B12 deficiency in the general adult population (age ~20–60) is estimated at roughly 3–6%, increasing to around 15–20% in those over 60 years old</w:t>
      </w:r>
      <w:hyperlink r:id="rId34">
        <w:r>
          <w:rPr>
            <w:rStyle w:val="Hyperlink"/>
          </w:rPr>
          <w:t xml:space="preserve">[14]</w:t>
        </w:r>
      </w:hyperlink>
      <w:hyperlink r:id="rId35">
        <w:r>
          <w:rPr>
            <w:rStyle w:val="Hyperlink"/>
          </w:rPr>
          <w:t xml:space="preserve">[15]</w:t>
        </w:r>
      </w:hyperlink>
      <w:r>
        <w:t xml:space="preserve">. Using a broader definition including “subclinical” low-normal levels, even larger proportions are affected – up to 20% of younger adults and 40% of elderly may have marginal B12 status in some studies</w:t>
      </w:r>
      <w:hyperlink r:id="rId35">
        <w:r>
          <w:rPr>
            <w:rStyle w:val="Hyperlink"/>
          </w:rPr>
          <w:t xml:space="preserve">[15]</w:t>
        </w:r>
      </w:hyperlink>
      <w:r>
        <w:t xml:space="preserve">. The prevalence varies by region and population: for example, a UK survey found ~6% prevalence in adults &lt;60, rising to 20% in &gt;60</w:t>
      </w:r>
      <w:hyperlink r:id="rId36">
        <w:r>
          <w:rPr>
            <w:rStyle w:val="Hyperlink"/>
          </w:rPr>
          <w:t xml:space="preserve">[16]</w:t>
        </w:r>
      </w:hyperlink>
      <w:r>
        <w:t xml:space="preserve">. In the United States, national data (NHANES) show at least 3% of ages 20–39 are B12-deficient, with higher rates in older groups</w:t>
      </w:r>
      <w:hyperlink r:id="rId37">
        <w:r>
          <w:rPr>
            <w:rStyle w:val="Hyperlink"/>
          </w:rPr>
          <w:t xml:space="preserve">[17]</w:t>
        </w:r>
      </w:hyperlink>
      <w:r>
        <w:t xml:space="preserve">. Europe reports 2–10% deficiency prevalence, depending on the country and cut-offs</w:t>
      </w:r>
      <w:hyperlink r:id="rId38">
        <w:r>
          <w:rPr>
            <w:rStyle w:val="Hyperlink"/>
          </w:rPr>
          <w:t xml:space="preserve">[18]</w:t>
        </w:r>
      </w:hyperlink>
      <w:r>
        <w:t xml:space="preserve">. Rates are higher in low- and middle-income countries and in vegetarian or vegan populations (due to low dietary intake of B12)</w:t>
      </w:r>
      <w:hyperlink r:id="rId38">
        <w:r>
          <w:rPr>
            <w:rStyle w:val="Hyperlink"/>
          </w:rPr>
          <w:t xml:space="preserve">[19]</w:t>
        </w:r>
      </w:hyperlink>
      <w:hyperlink r:id="rId39">
        <w:r>
          <w:rPr>
            <w:rStyle w:val="Hyperlink"/>
          </w:rPr>
          <w:t xml:space="preserve">[20]</w:t>
        </w:r>
      </w:hyperlink>
      <w:r>
        <w:t xml:space="preserve">. For example, B12 deficiency can affect 25–80% of strict vegetarians or vegans who do not supplement</w:t>
      </w:r>
      <w:hyperlink r:id="rId39">
        <w:r>
          <w:rPr>
            <w:rStyle w:val="Hyperlink"/>
          </w:rPr>
          <w:t xml:space="preserve">[20]</w:t>
        </w:r>
      </w:hyperlink>
      <w:r>
        <w:t xml:space="preserve">. Risk increases substantially with age due not only to dietary factors but also the rising incidence of malabsorptive conditions (atrophic gastritis, etc.) in the elderly. Certain ethnic and socio-demographic groups are also at higher risk, often related to dietary patterns or Helicobacter pylori prevalence</w:t>
      </w:r>
      <w:hyperlink r:id="rId40">
        <w:r>
          <w:rPr>
            <w:rStyle w:val="Hyperlink"/>
          </w:rPr>
          <w:t xml:space="preserve">[21]</w:t>
        </w:r>
      </w:hyperlink>
      <w:hyperlink r:id="rId41">
        <w:r>
          <w:rPr>
            <w:rStyle w:val="Hyperlink"/>
          </w:rPr>
          <w:t xml:space="preserve">[22]</w:t>
        </w:r>
      </w:hyperlink>
      <w:r>
        <w:t xml:space="preserve">.</w:t>
      </w:r>
    </w:p>
    <w:bookmarkEnd w:id="42"/>
    <w:bookmarkStart w:id="69" w:name="etiologies-of-vitamin-b12-deficiency"/>
    <w:p>
      <w:pPr>
        <w:pStyle w:val="Heading2"/>
      </w:pPr>
      <w:r>
        <w:t xml:space="preserve">Etiologies of Vitamin B12 Deficiency</w:t>
      </w:r>
    </w:p>
    <w:p>
      <w:pPr>
        <w:pStyle w:val="FirstParagraph"/>
      </w:pPr>
      <w:r>
        <w:t xml:space="preserve">Vitamin B12 deficiency has a multifactorial etiology, spanning nutritional, malabsorptive, autoimmune, and iatrogenic causes.</w:t>
      </w:r>
      <w:r>
        <w:t xml:space="preserve"> </w:t>
      </w:r>
      <w:r>
        <w:rPr>
          <w:b/>
          <w:bCs/>
        </w:rPr>
        <w:t xml:space="preserve">Table 1</w:t>
      </w:r>
      <w:r>
        <w:t xml:space="preserve"> </w:t>
      </w:r>
      <w:r>
        <w:t xml:space="preserve">summarizes major causes and their relative frequency in adult populations:</w:t>
      </w:r>
    </w:p>
    <w:p>
      <w:pPr>
        <w:numPr>
          <w:ilvl w:val="0"/>
          <w:numId w:val="1001"/>
        </w:numPr>
      </w:pPr>
      <w:r>
        <w:rPr>
          <w:b/>
          <w:bCs/>
        </w:rPr>
        <w:t xml:space="preserve">Food-Cobalamin Malabsorption (FCM):</w:t>
      </w:r>
      <w:r>
        <w:t xml:space="preserve"> </w:t>
      </w:r>
      <w:r>
        <w:t xml:space="preserve">This broad category – encompassing any condition where B12 cannot be liberated from food or bound to IF properly – is now recognized as the leading cause of adult B12 deficiency, accounting for roughly 50–70% of cases</w:t>
      </w:r>
      <w:hyperlink r:id="rId43">
        <w:r>
          <w:rPr>
            <w:rStyle w:val="Hyperlink"/>
          </w:rPr>
          <w:t xml:space="preserve">[23]</w:t>
        </w:r>
      </w:hyperlink>
      <w:hyperlink r:id="rId44">
        <w:r>
          <w:rPr>
            <w:rStyle w:val="Hyperlink"/>
          </w:rPr>
          <w:t xml:space="preserve">[24]</w:t>
        </w:r>
      </w:hyperlink>
      <w:r>
        <w:t xml:space="preserve">. FCM includes atrophic gastritis (with or without H. pylori infection), prolonged use of acid-suppressing medications, and other GI disorders that impair B12 absorption from food. Chronic atrophic gastritis (whether autoimmune or H. pylori-associated) leads to hypochlorhydria and loss of gastric pepsin activity, preventing B12 release from food proteins</w:t>
      </w:r>
      <w:hyperlink r:id="rId45">
        <w:r>
          <w:rPr>
            <w:rStyle w:val="Hyperlink"/>
          </w:rPr>
          <w:t xml:space="preserve">[25]</w:t>
        </w:r>
      </w:hyperlink>
      <w:r>
        <w:t xml:space="preserve">.</w:t>
      </w:r>
      <w:r>
        <w:t xml:space="preserve"> </w:t>
      </w:r>
      <w:r>
        <w:rPr>
          <w:i/>
          <w:iCs/>
        </w:rPr>
        <w:t xml:space="preserve">Helicobacter pylori</w:t>
      </w:r>
      <w:r>
        <w:t xml:space="preserve"> </w:t>
      </w:r>
      <w:r>
        <w:t xml:space="preserve">infection is a notable contributor; it can cause gastritis severe enough to reduce IF production and has been directly linked to B12 malabsorption and even false-positive parietal cell antibody tests (molecular mimicry between</w:t>
      </w:r>
      <w:r>
        <w:t xml:space="preserve"> </w:t>
      </w:r>
      <w:r>
        <w:rPr>
          <w:i/>
          <w:iCs/>
        </w:rPr>
        <w:t xml:space="preserve">H. pylori</w:t>
      </w:r>
      <w:r>
        <w:t xml:space="preserve"> </w:t>
      </w:r>
      <w:r>
        <w:t xml:space="preserve">antigens and gastric proton pump)</w:t>
      </w:r>
      <w:hyperlink r:id="rId46">
        <w:r>
          <w:rPr>
            <w:rStyle w:val="Hyperlink"/>
          </w:rPr>
          <w:t xml:space="preserve">[26]</w:t>
        </w:r>
      </w:hyperlink>
      <w:r>
        <w:t xml:space="preserve">. In populations with high</w:t>
      </w:r>
      <w:r>
        <w:t xml:space="preserve"> </w:t>
      </w:r>
      <w:r>
        <w:rPr>
          <w:i/>
          <w:iCs/>
        </w:rPr>
        <w:t xml:space="preserve">H. pylori</w:t>
      </w:r>
      <w:r>
        <w:t xml:space="preserve"> </w:t>
      </w:r>
      <w:r>
        <w:t xml:space="preserve">prevalence, a substantial fraction of B12 deficiency may be infection-related. Overall, age-related gastric atrophy and</w:t>
      </w:r>
      <w:r>
        <w:t xml:space="preserve"> </w:t>
      </w:r>
      <w:r>
        <w:rPr>
          <w:i/>
          <w:iCs/>
        </w:rPr>
        <w:t xml:space="preserve">H. pylori</w:t>
      </w:r>
      <w:r>
        <w:t xml:space="preserve"> </w:t>
      </w:r>
      <w:r>
        <w:t xml:space="preserve">make food-cobalamin malabsorption extremely common in the elderly, explaining why most cases in older adults are not due to classic pernicious anemia but rather these “secondary” causes</w:t>
      </w:r>
      <w:hyperlink r:id="rId40">
        <w:r>
          <w:rPr>
            <w:rStyle w:val="Hyperlink"/>
          </w:rPr>
          <w:t xml:space="preserve">[27]</w:t>
        </w:r>
      </w:hyperlink>
      <w:hyperlink r:id="rId41">
        <w:r>
          <w:rPr>
            <w:rStyle w:val="Hyperlink"/>
          </w:rPr>
          <w:t xml:space="preserve">[22]</w:t>
        </w:r>
      </w:hyperlink>
      <w:r>
        <w:t xml:space="preserve">.</w:t>
      </w:r>
    </w:p>
    <w:p>
      <w:pPr>
        <w:numPr>
          <w:ilvl w:val="0"/>
          <w:numId w:val="1001"/>
        </w:numPr>
      </w:pPr>
      <w:r>
        <w:rPr>
          <w:b/>
          <w:bCs/>
        </w:rPr>
        <w:t xml:space="preserve">Autoimmune Pernicious Anemia (PA):</w:t>
      </w:r>
      <w:r>
        <w:t xml:space="preserve"> </w:t>
      </w:r>
      <w:r>
        <w:t xml:space="preserve">Pernicious anemia, defined by autoimmune gastritis leading to IF deficiency, is a classic cause of severe B12 malabsorption. It accounts for an estimated 15–30% of B12 deficiency cases in adult populations</w:t>
      </w:r>
      <w:hyperlink r:id="rId43">
        <w:r>
          <w:rPr>
            <w:rStyle w:val="Hyperlink"/>
          </w:rPr>
          <w:t xml:space="preserve">[23]</w:t>
        </w:r>
      </w:hyperlink>
      <w:hyperlink r:id="rId41">
        <w:r>
          <w:rPr>
            <w:rStyle w:val="Hyperlink"/>
          </w:rPr>
          <w:t xml:space="preserve">[22]</w:t>
        </w:r>
      </w:hyperlink>
      <w:r>
        <w:t xml:space="preserve">. In PA, autoreactive T-cells and antibodies target gastric parietal cells and intrinsic factor. The result is chronic atrophic gastritis (primarily of the corpus/fundus) with loss of acid and IF production</w:t>
      </w:r>
      <w:hyperlink r:id="rId45">
        <w:r>
          <w:rPr>
            <w:rStyle w:val="Hyperlink"/>
          </w:rPr>
          <w:t xml:space="preserve">[25]</w:t>
        </w:r>
      </w:hyperlink>
      <w:r>
        <w:t xml:space="preserve">. Anti-intrinsic factor antibodies (present in ~50% of cases) can also directly neutralize IF</w:t>
      </w:r>
      <w:hyperlink r:id="rId47">
        <w:r>
          <w:rPr>
            <w:rStyle w:val="Hyperlink"/>
          </w:rPr>
          <w:t xml:space="preserve">[28]</w:t>
        </w:r>
      </w:hyperlink>
      <w:r>
        <w:t xml:space="preserve">. Without IF, the ileal IF-B12 receptor cannot uptake B12, causing gradual depletion of stores. PA typically presents in older adults (peak onset ~60 years) and is often associated with other autoimmune diseases (see</w:t>
      </w:r>
      <w:r>
        <w:t xml:space="preserve"> </w:t>
      </w:r>
      <w:r>
        <w:rPr>
          <w:b/>
          <w:bCs/>
        </w:rPr>
        <w:t xml:space="preserve">Autoimmune Associations</w:t>
      </w:r>
      <w:r>
        <w:t xml:space="preserve"> </w:t>
      </w:r>
      <w:r>
        <w:t xml:space="preserve">below). Its prevalence is about 0.1% in the general population, rising to ~1.5–2% in those over 60</w:t>
      </w:r>
      <w:hyperlink r:id="rId48">
        <w:r>
          <w:rPr>
            <w:rStyle w:val="Hyperlink"/>
          </w:rPr>
          <w:t xml:space="preserve">[29]</w:t>
        </w:r>
      </w:hyperlink>
      <w:r>
        <w:t xml:space="preserve">. Pernicious anemia was historically the most common cause of severe B12 deficiency, but in many developed countries its relative contribution has been eclipsed by food-bound B12 malabsorption and medication effects</w:t>
      </w:r>
      <w:hyperlink r:id="rId49">
        <w:r>
          <w:rPr>
            <w:rStyle w:val="Hyperlink"/>
          </w:rPr>
          <w:t xml:space="preserve">[30]</w:t>
        </w:r>
      </w:hyperlink>
      <w:hyperlink r:id="rId41">
        <w:r>
          <w:rPr>
            <w:rStyle w:val="Hyperlink"/>
          </w:rPr>
          <w:t xml:space="preserve">[22]</w:t>
        </w:r>
      </w:hyperlink>
      <w:r>
        <w:t xml:space="preserve">. Nevertheless, PA remains a significant cause, especially for the most profound deficiencies and in certain ethnic groups of Northern European ancestry where incidence is higher.</w:t>
      </w:r>
    </w:p>
    <w:p>
      <w:pPr>
        <w:numPr>
          <w:ilvl w:val="0"/>
          <w:numId w:val="1001"/>
        </w:numPr>
      </w:pPr>
      <w:r>
        <w:rPr>
          <w:b/>
          <w:bCs/>
        </w:rPr>
        <w:t xml:space="preserve">Dietary Deficiency:</w:t>
      </w:r>
      <w:r>
        <w:t xml:space="preserve"> </w:t>
      </w:r>
      <w:r>
        <w:t xml:space="preserve">Insufficient B12 intake alone (in the absence of absorption problems) is less common in omnivores given the body’s stores and wide presence of B12 in animal products. However, strict vegetarians and vegans who do not take B12-fortified foods or supplements are at high risk. Pure dietary deficiency accounts for an estimated 2–5% of adult deficiency cases overall</w:t>
      </w:r>
      <w:hyperlink r:id="rId43">
        <w:r>
          <w:rPr>
            <w:rStyle w:val="Hyperlink"/>
          </w:rPr>
          <w:t xml:space="preserve">[23]</w:t>
        </w:r>
      </w:hyperlink>
      <w:r>
        <w:t xml:space="preserve">, but in subpopulations with low animal food consumption its contribution is larger. For instance, lifelong vegans almost invariably develop B12 deficiency without supplementation – studies show 50–90% of unsupplemented vegans have low B12 levels</w:t>
      </w:r>
      <w:hyperlink r:id="rId50">
        <w:r>
          <w:rPr>
            <w:rStyle w:val="Hyperlink"/>
          </w:rPr>
          <w:t xml:space="preserve">[31]</w:t>
        </w:r>
      </w:hyperlink>
      <w:r>
        <w:t xml:space="preserve">. Chronic alcoholism and poverty (limited diet quality) are other contexts for low B12 intake</w:t>
      </w:r>
      <w:hyperlink r:id="rId45">
        <w:r>
          <w:rPr>
            <w:rStyle w:val="Hyperlink"/>
          </w:rPr>
          <w:t xml:space="preserve">[32]</w:t>
        </w:r>
      </w:hyperlink>
      <w:r>
        <w:t xml:space="preserve">. Notably, due to long hepatic stores, strictly dietary deficiency often takes years to manifest and may present with milder clinical signs initially. Nevertheless, it should be considered in patients with dietary risk factors (vegan diet, malnutrition, etc.).</w:t>
      </w:r>
    </w:p>
    <w:p>
      <w:pPr>
        <w:numPr>
          <w:ilvl w:val="0"/>
          <w:numId w:val="1001"/>
        </w:numPr>
      </w:pPr>
      <w:r>
        <w:rPr>
          <w:b/>
          <w:bCs/>
        </w:rPr>
        <w:t xml:space="preserve">Medication-Induced Malabsorption:</w:t>
      </w:r>
      <w:r>
        <w:t xml:space="preserve"> </w:t>
      </w:r>
      <w:r>
        <w:t xml:space="preserve">Long-term use of certain common medications can contribute significantly to B12 deficiency. Two of the most implicated drug classes are metformin and proton pump inhibitors (PPIs):</w:t>
      </w:r>
    </w:p>
    <w:p>
      <w:pPr>
        <w:pStyle w:val="Compact"/>
        <w:numPr>
          <w:ilvl w:val="0"/>
          <w:numId w:val="1001"/>
        </w:numPr>
      </w:pPr>
      <w:r>
        <w:rPr>
          <w:i/>
          <w:iCs/>
        </w:rPr>
        <w:t xml:space="preserve">Metformin:</w:t>
      </w:r>
      <w:r>
        <w:t xml:space="preserve"> </w:t>
      </w:r>
      <w:r>
        <w:t xml:space="preserve">Prolonged metformin therapy for type 2 diabetes interferes with B12 absorption via unclear mechanisms (proposed effects include altered small bowel motility and bacterial overgrowth, or competitive inhibition of calcium-dependent IF-B12 uptake)</w:t>
      </w:r>
      <w:hyperlink r:id="rId51">
        <w:r>
          <w:rPr>
            <w:rStyle w:val="Hyperlink"/>
          </w:rPr>
          <w:t xml:space="preserve">[33]</w:t>
        </w:r>
      </w:hyperlink>
      <w:r>
        <w:t xml:space="preserve">. Meta-analyses indicate that ~10–30% of chronic metformin users develop low B12 levels</w:t>
      </w:r>
      <w:hyperlink r:id="rId52">
        <w:r>
          <w:rPr>
            <w:rStyle w:val="Hyperlink"/>
          </w:rPr>
          <w:t xml:space="preserve">[34]</w:t>
        </w:r>
      </w:hyperlink>
      <w:hyperlink r:id="rId53">
        <w:r>
          <w:rPr>
            <w:rStyle w:val="Hyperlink"/>
          </w:rPr>
          <w:t xml:space="preserve">[35]</w:t>
        </w:r>
      </w:hyperlink>
      <w:r>
        <w:t xml:space="preserve">. One large meta-analysis found B12 deficiency in 23.3% of metformin-treated patients versus 17.4% of non-diabetics, with an odds ratio ~3 for deficiency with metformin use</w:t>
      </w:r>
      <w:hyperlink r:id="rId54">
        <w:r>
          <w:rPr>
            <w:rStyle w:val="Hyperlink"/>
          </w:rPr>
          <w:t xml:space="preserve">[36]</w:t>
        </w:r>
      </w:hyperlink>
      <w:hyperlink r:id="rId55">
        <w:r>
          <w:rPr>
            <w:rStyle w:val="Hyperlink"/>
          </w:rPr>
          <w:t xml:space="preserve">[37]</w:t>
        </w:r>
      </w:hyperlink>
      <w:r>
        <w:t xml:space="preserve">. The risk increases with longer duration (≥4–5 years) and higher doses</w:t>
      </w:r>
      <w:hyperlink r:id="rId53">
        <w:r>
          <w:rPr>
            <w:rStyle w:val="Hyperlink"/>
          </w:rPr>
          <w:t xml:space="preserve">[35]</w:t>
        </w:r>
      </w:hyperlink>
      <w:hyperlink r:id="rId56">
        <w:r>
          <w:rPr>
            <w:rStyle w:val="Hyperlink"/>
          </w:rPr>
          <w:t xml:space="preserve">[38]</w:t>
        </w:r>
      </w:hyperlink>
      <w:r>
        <w:t xml:space="preserve">. Due to this, many guidelines now recommend periodic B12 monitoring in patients on long-term metformin</w:t>
      </w:r>
      <w:hyperlink r:id="rId57">
        <w:r>
          <w:rPr>
            <w:rStyle w:val="Hyperlink"/>
          </w:rPr>
          <w:t xml:space="preserve">[39]</w:t>
        </w:r>
      </w:hyperlink>
      <w:hyperlink r:id="rId55">
        <w:r>
          <w:rPr>
            <w:rStyle w:val="Hyperlink"/>
          </w:rPr>
          <w:t xml:space="preserve">[37]</w:t>
        </w:r>
      </w:hyperlink>
      <w:r>
        <w:t xml:space="preserve">.</w:t>
      </w:r>
    </w:p>
    <w:p>
      <w:pPr>
        <w:pStyle w:val="Compact"/>
        <w:numPr>
          <w:ilvl w:val="0"/>
          <w:numId w:val="1001"/>
        </w:numPr>
      </w:pPr>
      <w:r>
        <w:rPr>
          <w:i/>
          <w:iCs/>
        </w:rPr>
        <w:t xml:space="preserve">PPIs and H&lt;sub&gt;2&lt;/sub&gt;-Blockers:</w:t>
      </w:r>
      <w:r>
        <w:t xml:space="preserve"> </w:t>
      </w:r>
      <w:r>
        <w:t xml:space="preserve">Acid-suppressing therapies (e.g. omeprazole, lansoprazole) can lead to food-cobalamin malabsorption by inducing achlorhydria. B12 absorption from food proteins depends on gastric acid; PPIs thus reduce B12 release from food. Chronic PPI use (≥12 months) is associated with an estimated 5–15% prevalence of B12 deficiency among users</w:t>
      </w:r>
      <w:hyperlink r:id="rId52">
        <w:r>
          <w:rPr>
            <w:rStyle w:val="Hyperlink"/>
          </w:rPr>
          <w:t xml:space="preserve">[34]</w:t>
        </w:r>
      </w:hyperlink>
      <w:hyperlink r:id="rId56">
        <w:r>
          <w:rPr>
            <w:rStyle w:val="Hyperlink"/>
          </w:rPr>
          <w:t xml:space="preserve">[38]</w:t>
        </w:r>
      </w:hyperlink>
      <w:r>
        <w:t xml:space="preserve">. A large cohort study and meta-analysis noted a significant increase in risk of B12 deficiency with ≥2 years of PPI use (OR ~1.5–2.0)</w:t>
      </w:r>
      <w:hyperlink r:id="rId56">
        <w:r>
          <w:rPr>
            <w:rStyle w:val="Hyperlink"/>
          </w:rPr>
          <w:t xml:space="preserve">[38]</w:t>
        </w:r>
      </w:hyperlink>
      <w:r>
        <w:t xml:space="preserve">. H&lt;sub&gt;2&lt;/sub&gt;-blockers have a similar though slightly lesser effect. Given how widely these drugs are used (especially in older patients), they are an important iatrogenic factor. Patients on long-term acid suppression should be considered for B12 screening or prophylactic supplementation</w:t>
      </w:r>
      <w:hyperlink r:id="rId58">
        <w:r>
          <w:rPr>
            <w:rStyle w:val="Hyperlink"/>
          </w:rPr>
          <w:t xml:space="preserve">[40]</w:t>
        </w:r>
      </w:hyperlink>
      <w:r>
        <w:t xml:space="preserve">.</w:t>
      </w:r>
    </w:p>
    <w:p>
      <w:pPr>
        <w:numPr>
          <w:ilvl w:val="0"/>
          <w:numId w:val="1001"/>
        </w:numPr>
      </w:pPr>
      <w:r>
        <w:t xml:space="preserve">Other medications: Chronic exposure to nitrous oxide (recreational “laughing gas” abuse or repeated anesthesia) inactivates B12 by oxidizing cobalt, acutely precipitating deficiency signs</w:t>
      </w:r>
      <w:hyperlink r:id="rId32">
        <w:r>
          <w:rPr>
            <w:rStyle w:val="Hyperlink"/>
          </w:rPr>
          <w:t xml:space="preserve">[12]</w:t>
        </w:r>
      </w:hyperlink>
      <w:r>
        <w:t xml:space="preserve">. High-dose nitrous oxide can cause a rapid neurologic deterioration (see</w:t>
      </w:r>
      <w:r>
        <w:t xml:space="preserve"> </w:t>
      </w:r>
      <w:r>
        <w:rPr>
          <w:b/>
          <w:bCs/>
        </w:rPr>
        <w:t xml:space="preserve">Neurologic Manifestations</w:t>
      </w:r>
      <w:r>
        <w:t xml:space="preserve">) and is a known cause of functional B12 deficiency even with adequate stores. Certain anti-seizure medications and heavy prolonged antibiotic use affecting gut flora have also been reported to influence B12 levels, though to a lesser degree.</w:t>
      </w:r>
    </w:p>
    <w:p>
      <w:pPr>
        <w:numPr>
          <w:ilvl w:val="0"/>
          <w:numId w:val="1001"/>
        </w:numPr>
      </w:pPr>
      <w:r>
        <w:rPr>
          <w:b/>
          <w:bCs/>
        </w:rPr>
        <w:t xml:space="preserve">Gastrointestinal Surgeries and Diseases:</w:t>
      </w:r>
      <w:r>
        <w:t xml:space="preserve"> </w:t>
      </w:r>
      <w:r>
        <w:t xml:space="preserve">Any surgical resection or disease of sites critical to B12 absorption can cause deficiency. Total or partial gastrectomy (removal of acid- and IF-producing gastric mucosa) often leads to B12 malabsorption within a few years post-surgery</w:t>
      </w:r>
      <w:hyperlink r:id="rId59">
        <w:r>
          <w:rPr>
            <w:rStyle w:val="Hyperlink"/>
          </w:rPr>
          <w:t xml:space="preserve">[41]</w:t>
        </w:r>
      </w:hyperlink>
      <w:r>
        <w:t xml:space="preserve">. Bariatric surgery, especially Roux-en-Y gastric bypass, is a well-known risk factor for B12 deficiency – up to 30–40% of patients develop low B12 without supplementation due to reduced intrinsic factor and contact with ileum</w:t>
      </w:r>
      <w:hyperlink r:id="rId60">
        <w:r>
          <w:rPr>
            <w:rStyle w:val="Hyperlink"/>
          </w:rPr>
          <w:t xml:space="preserve">[42]</w:t>
        </w:r>
      </w:hyperlink>
      <w:hyperlink r:id="rId61">
        <w:r>
          <w:rPr>
            <w:rStyle w:val="Hyperlink"/>
          </w:rPr>
          <w:t xml:space="preserve">[43]</w:t>
        </w:r>
      </w:hyperlink>
      <w:r>
        <w:t xml:space="preserve">. Ileal resection or extensive ileal Crohn’s disease can eliminate the site of B12 uptake, causing deficiency unless parenteral B12 is given. Chronic pancreatitis can contribute by reducing pancreatic enzyme output needed to release B12 from R-binders</w:t>
      </w:r>
      <w:hyperlink r:id="rId62">
        <w:r>
          <w:rPr>
            <w:rStyle w:val="Hyperlink"/>
          </w:rPr>
          <w:t xml:space="preserve">[44]</w:t>
        </w:r>
      </w:hyperlink>
      <w:r>
        <w:t xml:space="preserve">. Blind loop syndrome or small intestinal bacterial overgrowth may consume B12 in the gut. These etiologies are less common overall but important in certain clinical contexts (post-surgical patients, those with Crohn’s, etc.).</w:t>
      </w:r>
    </w:p>
    <w:p>
      <w:pPr>
        <w:numPr>
          <w:ilvl w:val="0"/>
          <w:numId w:val="1001"/>
        </w:numPr>
      </w:pPr>
      <w:r>
        <w:rPr>
          <w:b/>
          <w:bCs/>
        </w:rPr>
        <w:t xml:space="preserve">Inherited and Congenital Disorders:</w:t>
      </w:r>
      <w:r>
        <w:t xml:space="preserve"> </w:t>
      </w:r>
      <w:r>
        <w:t xml:space="preserve">While rare, genetic disorders can lead to B12 deficiency or functional impairment. Imerslund-Gräsbeck syndrome (hereditary selective B12 malabsorption due to mutations in cubilin or amnionless) typically presents in childhood but may be diagnosed in young adults</w:t>
      </w:r>
      <w:hyperlink r:id="rId63">
        <w:r>
          <w:rPr>
            <w:rStyle w:val="Hyperlink"/>
          </w:rPr>
          <w:t xml:space="preserve">[45]</w:t>
        </w:r>
      </w:hyperlink>
      <w:r>
        <w:t xml:space="preserve">. Congenital lack of intrinsic factor (rare autosomal recessive disorder) and transcobalamin II deficiency cause severe B12 deficiency early in life. Inborn errors of cobalamin metabolism (cobalamin C/D/E defects in intracellular processing) cause functional deficits and methylmalonic acidemia despite normal B12 levels. Overall, inherited causes constitute &lt;1% of B12 deficiency cases</w:t>
      </w:r>
      <w:hyperlink r:id="rId64">
        <w:r>
          <w:rPr>
            <w:rStyle w:val="Hyperlink"/>
          </w:rPr>
          <w:t xml:space="preserve">[46]</w:t>
        </w:r>
      </w:hyperlink>
      <w:r>
        <w:t xml:space="preserve"> </w:t>
      </w:r>
      <w:r>
        <w:t xml:space="preserve">and usually manifest in pediatric populations (thus beyond the scope of this adult-focused review). However, milder polymorphisms in B12-related enzymes and transporters are not rare and may modulate an individual’s susceptibility to deficiency</w:t>
      </w:r>
      <w:hyperlink r:id="rId65">
        <w:r>
          <w:rPr>
            <w:rStyle w:val="Hyperlink"/>
          </w:rPr>
          <w:t xml:space="preserve">[47]</w:t>
        </w:r>
      </w:hyperlink>
      <w:hyperlink r:id="rId66">
        <w:r>
          <w:rPr>
            <w:rStyle w:val="Hyperlink"/>
          </w:rPr>
          <w:t xml:space="preserve">[48]</w:t>
        </w:r>
      </w:hyperlink>
      <w:r>
        <w:t xml:space="preserve">. For example, certain common single nucleotide polymorphisms can affect MMA levels or B12 utilization efficiency, potentially contributing to “functional” deficiency in some individuals</w:t>
      </w:r>
      <w:hyperlink r:id="rId65">
        <w:r>
          <w:rPr>
            <w:rStyle w:val="Hyperlink"/>
          </w:rPr>
          <w:t xml:space="preserve">[47]</w:t>
        </w:r>
      </w:hyperlink>
      <w:r>
        <w:t xml:space="preserve">. These genetic factors might partly explain why some people develop neurologic symptoms even with B12 levels that others might tolerate.</w:t>
      </w:r>
    </w:p>
    <w:p>
      <w:pPr>
        <w:numPr>
          <w:ilvl w:val="0"/>
          <w:numId w:val="1001"/>
        </w:numPr>
      </w:pPr>
      <w:r>
        <w:rPr>
          <w:b/>
          <w:bCs/>
        </w:rPr>
        <w:t xml:space="preserve">Other Contributing Factors:</w:t>
      </w:r>
      <w:r>
        <w:t xml:space="preserve"> </w:t>
      </w:r>
      <w:r>
        <w:t xml:space="preserve">Pregnancy increases B12 requirements and can unmask borderline status, though deficiency in pregnancy is more pertinent to fetal development (beyond our adult scope). Nonetheless, women with B12 deficiency should correct it before pregnancy to avoid neurologic damage in the fetus. Severe thyrotoxicosis, HIV infection, and advanced liver disease have all been associated with low B12 levels by various mechanisms (increased utilization or disrupted storage). In contrast, some myeloproliferative disorders (e.g. chronic myeloid leukemia, polycythemia vera) can cause</w:t>
      </w:r>
      <w:r>
        <w:t xml:space="preserve"> </w:t>
      </w:r>
      <w:r>
        <w:rPr>
          <w:i/>
          <w:iCs/>
        </w:rPr>
        <w:t xml:space="preserve">elevated</w:t>
      </w:r>
      <w:r>
        <w:t xml:space="preserve"> </w:t>
      </w:r>
      <w:r>
        <w:t xml:space="preserve">serum B12 levels due to excess production of B12-binding proteins (haptocorrin) by white cells</w:t>
      </w:r>
      <w:hyperlink r:id="rId67">
        <w:r>
          <w:rPr>
            <w:rStyle w:val="Hyperlink"/>
          </w:rPr>
          <w:t xml:space="preserve">[49]</w:t>
        </w:r>
      </w:hyperlink>
      <w:hyperlink r:id="rId68">
        <w:r>
          <w:rPr>
            <w:rStyle w:val="Hyperlink"/>
          </w:rPr>
          <w:t xml:space="preserve">[50]</w:t>
        </w:r>
      </w:hyperlink>
      <w:r>
        <w:t xml:space="preserve"> </w:t>
      </w:r>
      <w:r>
        <w:t xml:space="preserve">– these conditions can mask an underlying deficiency or at least complicate interpretation of B12 lab results (see</w:t>
      </w:r>
      <w:r>
        <w:t xml:space="preserve"> </w:t>
      </w:r>
      <w:r>
        <w:rPr>
          <w:b/>
          <w:bCs/>
        </w:rPr>
        <w:t xml:space="preserve">Diagnostic Pitfalls</w:t>
      </w:r>
      <w:r>
        <w:t xml:space="preserve">).</w:t>
      </w:r>
    </w:p>
    <w:p>
      <w:pPr>
        <w:pStyle w:val="FirstParagraph"/>
      </w:pPr>
      <w:r>
        <w:rPr>
          <w:b/>
          <w:bCs/>
        </w:rPr>
        <w:t xml:space="preserve">Table 1: Common Causes of Vitamin B12 Deficiency and Approximate Frequency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Etiology</w:t>
            </w:r>
          </w:p>
        </w:tc>
        <w:tc>
          <w:tcPr/>
          <w:p>
            <w:pPr>
              <w:pStyle w:val="Compact"/>
            </w:pPr>
            <w:r>
              <w:rPr>
                <w:b/>
                <w:bCs/>
              </w:rPr>
              <w:t xml:space="preserve">Mechanism</w:t>
            </w:r>
          </w:p>
        </w:tc>
        <w:tc>
          <w:tcPr/>
          <w:p>
            <w:pPr>
              <w:pStyle w:val="Compact"/>
            </w:pPr>
            <w:r>
              <w:rPr>
                <w:b/>
                <w:bCs/>
              </w:rPr>
              <w:t xml:space="preserve">Approximate Frequency</w:t>
            </w:r>
          </w:p>
        </w:tc>
      </w:tr>
      <w:tr>
        <w:tc>
          <w:tcPr/>
          <w:p>
            <w:pPr>
              <w:pStyle w:val="Compact"/>
            </w:pPr>
            <w:r>
              <w:t xml:space="preserve">Food-Cobalamin Malabsorption (FCM)</w:t>
            </w:r>
          </w:p>
        </w:tc>
        <w:tc>
          <w:tcPr/>
          <w:p>
            <w:pPr>
              <w:pStyle w:val="Compact"/>
            </w:pPr>
            <w:r>
              <w:t xml:space="preserve">Gastric atrophy,</w:t>
            </w:r>
            <w:r>
              <w:t xml:space="preserve"> </w:t>
            </w:r>
            <w:r>
              <w:rPr>
                <w:i/>
                <w:iCs/>
              </w:rPr>
              <w:t xml:space="preserve">H. pylori</w:t>
            </w:r>
            <w:r>
              <w:t xml:space="preserve">, low acid/IF</w:t>
            </w:r>
          </w:p>
        </w:tc>
        <w:tc>
          <w:tcPr/>
          <w:p>
            <w:pPr>
              <w:pStyle w:val="Compact"/>
            </w:pPr>
            <w:r>
              <w:t xml:space="preserve">~50–70% of cases</w:t>
            </w:r>
            <w:hyperlink r:id="rId43">
              <w:r>
                <w:rPr>
                  <w:rStyle w:val="Hyperlink"/>
                </w:rPr>
                <w:t xml:space="preserve">[23]</w:t>
              </w:r>
            </w:hyperlink>
          </w:p>
        </w:tc>
      </w:tr>
      <w:tr>
        <w:tc>
          <w:tcPr/>
          <w:p>
            <w:pPr>
              <w:pStyle w:val="Compact"/>
            </w:pPr>
            <w:r>
              <w:t xml:space="preserve">Pernicious Anemia (Autoimmune)</w:t>
            </w:r>
          </w:p>
        </w:tc>
        <w:tc>
          <w:tcPr/>
          <w:p>
            <w:pPr>
              <w:pStyle w:val="Compact"/>
            </w:pPr>
            <w:r>
              <w:t xml:space="preserve">Anti-IF and parietal cell → no IF</w:t>
            </w:r>
          </w:p>
        </w:tc>
        <w:tc>
          <w:tcPr/>
          <w:p>
            <w:pPr>
              <w:pStyle w:val="Compact"/>
            </w:pPr>
            <w:r>
              <w:t xml:space="preserve">~15–33% of cases</w:t>
            </w:r>
            <w:hyperlink r:id="rId43">
              <w:r>
                <w:rPr>
                  <w:rStyle w:val="Hyperlink"/>
                </w:rPr>
                <w:t xml:space="preserve">[23]</w:t>
              </w:r>
            </w:hyperlink>
          </w:p>
        </w:tc>
      </w:tr>
      <w:tr>
        <w:tc>
          <w:tcPr/>
          <w:p>
            <w:pPr>
              <w:pStyle w:val="Compact"/>
            </w:pPr>
            <w:r>
              <w:t xml:space="preserve">Dietary deficiency (vegan, etc.)</w:t>
            </w:r>
          </w:p>
        </w:tc>
        <w:tc>
          <w:tcPr/>
          <w:p>
            <w:pPr>
              <w:pStyle w:val="Compact"/>
            </w:pPr>
            <w:r>
              <w:t xml:space="preserve">Low intake of B12 sources</w:t>
            </w:r>
          </w:p>
        </w:tc>
        <w:tc>
          <w:tcPr/>
          <w:p>
            <w:pPr>
              <w:pStyle w:val="Compact"/>
            </w:pPr>
            <w:r>
              <w:t xml:space="preserve">~2–5% of cases</w:t>
            </w:r>
            <w:hyperlink r:id="rId43">
              <w:r>
                <w:rPr>
                  <w:rStyle w:val="Hyperlink"/>
                </w:rPr>
                <w:t xml:space="preserve">[23]</w:t>
              </w:r>
            </w:hyperlink>
            <w:r>
              <w:t xml:space="preserve"> </w:t>
            </w:r>
            <w:r>
              <w:t xml:space="preserve">(higher in vegans)</w:t>
            </w:r>
          </w:p>
        </w:tc>
      </w:tr>
      <w:tr>
        <w:tc>
          <w:tcPr/>
          <w:p>
            <w:pPr>
              <w:pStyle w:val="Compact"/>
            </w:pPr>
            <w:r>
              <w:t xml:space="preserve">Medications (Metformin, PPIs)</w:t>
            </w:r>
          </w:p>
        </w:tc>
        <w:tc>
          <w:tcPr/>
          <w:p>
            <w:pPr>
              <w:pStyle w:val="Compact"/>
            </w:pPr>
            <w:r>
              <w:t xml:space="preserve">Impaired absorption (mechanisms above)</w:t>
            </w:r>
          </w:p>
        </w:tc>
        <w:tc>
          <w:tcPr/>
          <w:p>
            <w:pPr>
              <w:pStyle w:val="Compact"/>
            </w:pPr>
            <w:r>
              <w:t xml:space="preserve">Up to 20–30% of long-term users</w:t>
            </w:r>
            <w:hyperlink r:id="rId52">
              <w:r>
                <w:rPr>
                  <w:rStyle w:val="Hyperlink"/>
                </w:rPr>
                <w:t xml:space="preserve">[34]</w:t>
              </w:r>
            </w:hyperlink>
            <w:hyperlink r:id="rId53">
              <w:r>
                <w:rPr>
                  <w:rStyle w:val="Hyperlink"/>
                </w:rPr>
                <w:t xml:space="preserve">[35]</w:t>
              </w:r>
            </w:hyperlink>
          </w:p>
        </w:tc>
      </w:tr>
      <w:tr>
        <w:tc>
          <w:tcPr/>
          <w:p>
            <w:pPr>
              <w:pStyle w:val="Compact"/>
            </w:pPr>
            <w:r>
              <w:t xml:space="preserve">Post-surgical (gastrectomy, bariatric)</w:t>
            </w:r>
          </w:p>
        </w:tc>
        <w:tc>
          <w:tcPr/>
          <w:p>
            <w:pPr>
              <w:pStyle w:val="Compact"/>
            </w:pPr>
            <w:r>
              <w:t xml:space="preserve">Loss of IF secretion or ileal surface</w:t>
            </w:r>
          </w:p>
        </w:tc>
        <w:tc>
          <w:tcPr/>
          <w:p>
            <w:pPr>
              <w:pStyle w:val="Compact"/>
            </w:pPr>
            <w:r>
              <w:t xml:space="preserve">Common post-gastric bypass (up to 30–40%)</w:t>
            </w:r>
            <w:hyperlink r:id="rId61">
              <w:r>
                <w:rPr>
                  <w:rStyle w:val="Hyperlink"/>
                </w:rPr>
                <w:t xml:space="preserve">[43]</w:t>
              </w:r>
            </w:hyperlink>
          </w:p>
        </w:tc>
      </w:tr>
      <w:tr>
        <w:tc>
          <w:tcPr/>
          <w:p>
            <w:pPr>
              <w:pStyle w:val="Compact"/>
            </w:pPr>
            <w:r>
              <w:t xml:space="preserve">Ileal disease (e.g. Crohn’s ileitis)</w:t>
            </w:r>
          </w:p>
        </w:tc>
        <w:tc>
          <w:tcPr/>
          <w:p>
            <w:pPr>
              <w:pStyle w:val="Compact"/>
            </w:pPr>
            <w:r>
              <w:t xml:space="preserve">Malabsorption due to mucosal damage</w:t>
            </w:r>
          </w:p>
        </w:tc>
        <w:tc>
          <w:tcPr/>
          <w:p>
            <w:pPr>
              <w:pStyle w:val="Compact"/>
            </w:pPr>
            <w:r>
              <w:t xml:space="preserve">Variable (depends on disease extent)</w:t>
            </w:r>
          </w:p>
        </w:tc>
      </w:tr>
      <w:tr>
        <w:tc>
          <w:tcPr/>
          <w:p>
            <w:pPr>
              <w:pStyle w:val="Compact"/>
            </w:pPr>
            <w:r>
              <w:t xml:space="preserve">Inherited disorders (Imerslund, etc.)</w:t>
            </w:r>
          </w:p>
        </w:tc>
        <w:tc>
          <w:tcPr/>
          <w:p>
            <w:pPr>
              <w:pStyle w:val="Compact"/>
            </w:pPr>
            <w:r>
              <w:t xml:space="preserve">Various genetic defects in B12 transport/metabolism</w:t>
            </w:r>
          </w:p>
        </w:tc>
        <w:tc>
          <w:tcPr/>
          <w:p>
            <w:pPr>
              <w:pStyle w:val="Compact"/>
            </w:pPr>
            <w:r>
              <w:t xml:space="preserve">&lt;1% (rare)</w:t>
            </w:r>
            <w:hyperlink r:id="rId64">
              <w:r>
                <w:rPr>
                  <w:rStyle w:val="Hyperlink"/>
                </w:rPr>
                <w:t xml:space="preserve">[46]</w:t>
              </w:r>
            </w:hyperlink>
          </w:p>
        </w:tc>
      </w:tr>
      <w:tr>
        <w:tc>
          <w:tcPr/>
          <w:p>
            <w:pPr>
              <w:pStyle w:val="Compact"/>
            </w:pPr>
            <w:r>
              <w:t xml:space="preserve">Others (pancreatitis, bacterial overgrowth, nitrous oxide abuse)</w:t>
            </w:r>
          </w:p>
        </w:tc>
        <w:tc>
          <w:tcPr/>
          <w:p>
            <w:pPr>
              <w:pStyle w:val="Compact"/>
            </w:pPr>
            <w:r>
              <w:t xml:space="preserve">Miscellaneous mechanisms as described</w:t>
            </w:r>
          </w:p>
        </w:tc>
        <w:tc>
          <w:tcPr/>
          <w:p>
            <w:pPr>
              <w:pStyle w:val="Compact"/>
            </w:pPr>
            <w:r>
              <w:t xml:space="preserve">– (context-specific incidence)</w:t>
            </w:r>
          </w:p>
        </w:tc>
      </w:tr>
    </w:tbl>
    <w:p>
      <w:pPr>
        <w:pStyle w:val="BodyText"/>
      </w:pPr>
      <w:r>
        <w:rPr>
          <w:i/>
          <w:iCs/>
        </w:rPr>
        <w:t xml:space="preserve">(Sources: epidemiologic estimates from major reviews</w:t>
      </w:r>
      <w:hyperlink r:id="rId43">
        <w:r>
          <w:rPr>
            <w:rStyle w:val="Hyperlink"/>
            <w:i/>
            <w:iCs/>
          </w:rPr>
          <w:t xml:space="preserve">[23]</w:t>
        </w:r>
      </w:hyperlink>
      <w:hyperlink r:id="rId41">
        <w:r>
          <w:rPr>
            <w:rStyle w:val="Hyperlink"/>
            <w:i/>
            <w:iCs/>
          </w:rPr>
          <w:t xml:space="preserve">[22]</w:t>
        </w:r>
      </w:hyperlink>
      <w:r>
        <w:rPr>
          <w:i/>
          <w:iCs/>
        </w:rPr>
        <w:t xml:space="preserve"> </w:t>
      </w:r>
      <w:r>
        <w:rPr>
          <w:i/>
          <w:iCs/>
        </w:rPr>
        <w:t xml:space="preserve">and specific studies as cited in text)</w:t>
      </w:r>
    </w:p>
    <w:bookmarkEnd w:id="69"/>
    <w:bookmarkStart w:id="111" w:name="clinical-manifestations"/>
    <w:p>
      <w:pPr>
        <w:pStyle w:val="Heading2"/>
      </w:pPr>
      <w:r>
        <w:t xml:space="preserve">Clinical Manifestations</w:t>
      </w:r>
    </w:p>
    <w:p>
      <w:pPr>
        <w:pStyle w:val="FirstParagraph"/>
      </w:pPr>
      <w:r>
        <w:t xml:space="preserve">Vitamin B12 deficiency leads to a wide spectrum of clinical manifestations. Classically, it causes</w:t>
      </w:r>
      <w:r>
        <w:t xml:space="preserve"> </w:t>
      </w:r>
      <w:r>
        <w:rPr>
          <w:b/>
          <w:bCs/>
        </w:rPr>
        <w:t xml:space="preserve">megaloblastic anemia</w:t>
      </w:r>
      <w:r>
        <w:t xml:space="preserve"> </w:t>
      </w:r>
      <w:r>
        <w:t xml:space="preserve">and neurological complications, but the presentation can range from asymptomatic lab abnormalities to severe, irreversible neurologic damage or even pseudothrombotic microangiopathy. The clinical features are often divided into hematological, neurological, and mucocutaneous categories, though in many patients these overlap. Notably, symptoms may develop insidiously and can be present even in the absence of anemia or macrocytosis, especially neurologic symptoms</w:t>
      </w:r>
      <w:hyperlink r:id="rId70">
        <w:r>
          <w:rPr>
            <w:rStyle w:val="Hyperlink"/>
          </w:rPr>
          <w:t xml:space="preserve">[51]</w:t>
        </w:r>
      </w:hyperlink>
      <w:hyperlink r:id="rId71">
        <w:r>
          <w:rPr>
            <w:rStyle w:val="Hyperlink"/>
          </w:rPr>
          <w:t xml:space="preserve">[52]</w:t>
        </w:r>
      </w:hyperlink>
      <w:r>
        <w:t xml:space="preserve">. Here we detail each domain of manifestations, including the rare but important</w:t>
      </w:r>
      <w:r>
        <w:t xml:space="preserve"> </w:t>
      </w:r>
      <w:r>
        <w:rPr>
          <w:b/>
          <w:bCs/>
        </w:rPr>
        <w:t xml:space="preserve">pseudo-TTP</w:t>
      </w:r>
      <w:r>
        <w:t xml:space="preserve"> </w:t>
      </w:r>
      <w:r>
        <w:t xml:space="preserve">presentation.</w:t>
      </w:r>
    </w:p>
    <w:bookmarkStart w:id="93" w:name="hematological-manifestations"/>
    <w:p>
      <w:pPr>
        <w:pStyle w:val="Heading3"/>
      </w:pPr>
      <w:r>
        <w:t xml:space="preserve">Hematological Manifestations</w:t>
      </w:r>
    </w:p>
    <w:p>
      <w:pPr>
        <w:pStyle w:val="FirstParagraph"/>
      </w:pPr>
      <w:r>
        <w:rPr>
          <w:b/>
          <w:bCs/>
        </w:rPr>
        <w:t xml:space="preserve">Megaloblastic Anemia:</w:t>
      </w:r>
      <w:r>
        <w:t xml:space="preserve"> </w:t>
      </w:r>
      <w:r>
        <w:t xml:space="preserve">B12 deficiency classically produces a macrocytic, megaloblastic anemia. Impaired DNA synthesis in hematopoietic precursors causes cell cycle arrest with continued cell growth, yielding macro-ovalocytes in peripheral blood and megaloblasts in bone marrow. Red blood cell mean corpuscular volume (MCV) is often elevated (&gt;100 fL), although up to 10–15% of B12-deficient patients may have a normal MCV (for example, if iron deficiency coexists, the macrocytosis can be masked)</w:t>
      </w:r>
      <w:hyperlink r:id="rId72">
        <w:r>
          <w:rPr>
            <w:rStyle w:val="Hyperlink"/>
          </w:rPr>
          <w:t xml:space="preserve">[53]</w:t>
        </w:r>
      </w:hyperlink>
      <w:hyperlink r:id="rId73">
        <w:r>
          <w:rPr>
            <w:rStyle w:val="Hyperlink"/>
          </w:rPr>
          <w:t xml:space="preserve">[54]</w:t>
        </w:r>
      </w:hyperlink>
      <w:r>
        <w:t xml:space="preserve">. Anemia can be mild or severe, sometimes with hemoglobin &lt;7–8 g/dL in advanced cases. Patients often develop</w:t>
      </w:r>
      <w:r>
        <w:t xml:space="preserve"> </w:t>
      </w:r>
      <w:r>
        <w:rPr>
          <w:b/>
          <w:bCs/>
        </w:rPr>
        <w:t xml:space="preserve">pancytopenia</w:t>
      </w:r>
      <w:r>
        <w:t xml:space="preserve"> </w:t>
      </w:r>
      <w:r>
        <w:t xml:space="preserve">in severe deficiency – leukopenia and thrombocytopenia accompany anemia due to bone marrow dysplasia</w:t>
      </w:r>
      <w:hyperlink r:id="rId74">
        <w:r>
          <w:rPr>
            <w:rStyle w:val="Hyperlink"/>
          </w:rPr>
          <w:t xml:space="preserve">[55]</w:t>
        </w:r>
      </w:hyperlink>
      <w:hyperlink r:id="rId75">
        <w:r>
          <w:rPr>
            <w:rStyle w:val="Hyperlink"/>
          </w:rPr>
          <w:t xml:space="preserve">[56]</w:t>
        </w:r>
      </w:hyperlink>
      <w:r>
        <w:t xml:space="preserve">. The white cell changes include hypersegmented neutrophils (≥5 lobes) on blood smear, which are a classic early clue to megaloblastic processes</w:t>
      </w:r>
      <w:hyperlink r:id="rId76">
        <w:r>
          <w:rPr>
            <w:rStyle w:val="Hyperlink"/>
          </w:rPr>
          <w:t xml:space="preserve">[57]</w:t>
        </w:r>
      </w:hyperlink>
      <w:hyperlink r:id="rId77">
        <w:r>
          <w:rPr>
            <w:rStyle w:val="Hyperlink"/>
          </w:rPr>
          <w:t xml:space="preserve">[58]</w:t>
        </w:r>
      </w:hyperlink>
      <w:r>
        <w:t xml:space="preserve">. Symptoms of anemia (fatigue, weakness, pallor, shortness of breath) are common in moderate to severe cases. B12 deficiency anemia is typically macrocytic and accompanied by a high red cell distribution width (RDW) from the mixture of macrocytes and any coexisting microcytes. Ineffective erythropoiesis leads to elevated serum lactate dehydrogenase (LDH) and indirect bilirubin from intramedullary hemolysis.</w:t>
      </w:r>
      <w:r>
        <w:t xml:space="preserve"> </w:t>
      </w:r>
      <w:r>
        <w:rPr>
          <w:b/>
          <w:bCs/>
        </w:rPr>
        <w:t xml:space="preserve">Hemolytic anemia</w:t>
      </w:r>
      <w:r>
        <w:t xml:space="preserve"> </w:t>
      </w:r>
      <w:r>
        <w:t xml:space="preserve">is therefore a feature – one review estimated ~1.5% of B12 deficiency cases present with a hemolytic anemia picture</w:t>
      </w:r>
      <w:hyperlink r:id="rId78">
        <w:r>
          <w:rPr>
            <w:rStyle w:val="Hyperlink"/>
          </w:rPr>
          <w:t xml:space="preserve">[59]</w:t>
        </w:r>
      </w:hyperlink>
      <w:hyperlink r:id="rId79">
        <w:r>
          <w:rPr>
            <w:rStyle w:val="Hyperlink"/>
          </w:rPr>
          <w:t xml:space="preserve">[60]</w:t>
        </w:r>
      </w:hyperlink>
      <w:r>
        <w:t xml:space="preserve">. Unlike autoimmune hemolysis, the reticulocyte count in B12 deficiency is inappropriately low relative to the degree of anemia (reflecting impaired marrow production)</w:t>
      </w:r>
      <w:hyperlink r:id="rId80">
        <w:r>
          <w:rPr>
            <w:rStyle w:val="Hyperlink"/>
          </w:rPr>
          <w:t xml:space="preserve">[61]</w:t>
        </w:r>
      </w:hyperlink>
      <w:r>
        <w:t xml:space="preserve">.</w:t>
      </w:r>
    </w:p>
    <w:p>
      <w:pPr>
        <w:pStyle w:val="BodyText"/>
      </w:pPr>
      <w:r>
        <w:rPr>
          <w:b/>
          <w:bCs/>
        </w:rPr>
        <w:t xml:space="preserve">Pancytopenia and Pseudo-Thrombotic Microangiopathy:</w:t>
      </w:r>
      <w:r>
        <w:t xml:space="preserve"> </w:t>
      </w:r>
      <w:r>
        <w:t xml:space="preserve">In severe longstanding B12 deficiency, pancytopenia can mimic aplastic anemia or leukemia. Some patients present with marked cytopenias and even require bone marrow examination to exclude malignancy – the marrow in B12 deficiency shows hypercellularity with megaloblastic changes, distinguishable from hypocellular marrow in aplasia</w:t>
      </w:r>
      <w:hyperlink r:id="rId74">
        <w:r>
          <w:rPr>
            <w:rStyle w:val="Hyperlink"/>
          </w:rPr>
          <w:t xml:space="preserve">[55]</w:t>
        </w:r>
      </w:hyperlink>
      <w:r>
        <w:t xml:space="preserve">. A dramatic but important presentation of profound B12 deficiency is</w:t>
      </w:r>
      <w:r>
        <w:t xml:space="preserve"> </w:t>
      </w:r>
      <w:r>
        <w:rPr>
          <w:b/>
          <w:bCs/>
        </w:rPr>
        <w:t xml:space="preserve">pseudo-thrombotic thrombocytopenic purpura</w:t>
      </w:r>
      <w:r>
        <w:t xml:space="preserve"> </w:t>
      </w:r>
      <w:r>
        <w:t xml:space="preserve">(pseudo-TTP), also called pseudothrombotic microangiopathy. This refers to the triad of microangiopathic hemolytic anemia, thrombocytopenia, and sometimes organ dysfunction that resembles thrombotic thrombocytopenic purpura,</w:t>
      </w:r>
      <w:r>
        <w:t xml:space="preserve"> </w:t>
      </w:r>
      <w:r>
        <w:rPr>
          <w:i/>
          <w:iCs/>
        </w:rPr>
        <w:t xml:space="preserve">but is caused by B12 deficiency rather than ADAMTS13 inhibitor-mediated thrombosis</w:t>
      </w:r>
      <w:hyperlink r:id="rId33">
        <w:r>
          <w:rPr>
            <w:rStyle w:val="Hyperlink"/>
          </w:rPr>
          <w:t xml:space="preserve">[13]</w:t>
        </w:r>
      </w:hyperlink>
      <w:hyperlink r:id="rId81">
        <w:r>
          <w:rPr>
            <w:rStyle w:val="Hyperlink"/>
          </w:rPr>
          <w:t xml:space="preserve">[62]</w:t>
        </w:r>
      </w:hyperlink>
      <w:r>
        <w:t xml:space="preserve">. Patients with pseudo-TTP have schistocytes on blood smear, high LDH, low haptoglobin, and can even develop mild renal and hepatic injury, closely mimicking true TTP/HUS</w:t>
      </w:r>
      <w:hyperlink r:id="rId79">
        <w:r>
          <w:rPr>
            <w:rStyle w:val="Hyperlink"/>
          </w:rPr>
          <w:t xml:space="preserve">[60]</w:t>
        </w:r>
      </w:hyperlink>
      <w:hyperlink r:id="rId76">
        <w:r>
          <w:rPr>
            <w:rStyle w:val="Hyperlink"/>
          </w:rPr>
          <w:t xml:space="preserve">[63]</w:t>
        </w:r>
      </w:hyperlink>
      <w:r>
        <w:t xml:space="preserve">. However, key differences are present:</w:t>
      </w:r>
    </w:p>
    <w:p>
      <w:pPr>
        <w:pStyle w:val="Compact"/>
        <w:numPr>
          <w:ilvl w:val="0"/>
          <w:numId w:val="1002"/>
        </w:numPr>
      </w:pPr>
      <w:r>
        <w:t xml:space="preserve">Neurological symptoms are usually mild or absent in pseudo-TTP (whereas TTP often has prominent neurologic impairment)</w:t>
      </w:r>
      <w:hyperlink r:id="rId75">
        <w:r>
          <w:rPr>
            <w:rStyle w:val="Hyperlink"/>
          </w:rPr>
          <w:t xml:space="preserve">[56]</w:t>
        </w:r>
      </w:hyperlink>
      <w:hyperlink r:id="rId82">
        <w:r>
          <w:rPr>
            <w:rStyle w:val="Hyperlink"/>
          </w:rPr>
          <w:t xml:space="preserve">[64]</w:t>
        </w:r>
      </w:hyperlink>
      <w:r>
        <w:t xml:space="preserve">.</w:t>
      </w:r>
    </w:p>
    <w:p>
      <w:pPr>
        <w:pStyle w:val="Compact"/>
        <w:numPr>
          <w:ilvl w:val="0"/>
          <w:numId w:val="1002"/>
        </w:numPr>
      </w:pPr>
      <w:r>
        <w:t xml:space="preserve">Fever and severe renal failure are uncommon in B12 pseudo-TMA.</w:t>
      </w:r>
    </w:p>
    <w:p>
      <w:pPr>
        <w:pStyle w:val="Compact"/>
        <w:numPr>
          <w:ilvl w:val="0"/>
          <w:numId w:val="1002"/>
        </w:numPr>
      </w:pPr>
      <w:r>
        <w:t xml:space="preserve">Pseudo-TTP shows</w:t>
      </w:r>
      <w:r>
        <w:t xml:space="preserve"> </w:t>
      </w:r>
      <w:r>
        <w:rPr>
          <w:i/>
          <w:iCs/>
        </w:rPr>
        <w:t xml:space="preserve">ineffective</w:t>
      </w:r>
      <w:r>
        <w:t xml:space="preserve"> </w:t>
      </w:r>
      <w:r>
        <w:t xml:space="preserve">erythropoiesis: thus reticulocyte count is low (in true TTP, retics are elevated responding to hemolysis)</w:t>
      </w:r>
      <w:hyperlink r:id="rId80">
        <w:r>
          <w:rPr>
            <w:rStyle w:val="Hyperlink"/>
          </w:rPr>
          <w:t xml:space="preserve">[61]</w:t>
        </w:r>
      </w:hyperlink>
      <w:hyperlink r:id="rId83">
        <w:r>
          <w:rPr>
            <w:rStyle w:val="Hyperlink"/>
          </w:rPr>
          <w:t xml:space="preserve">[65]</w:t>
        </w:r>
      </w:hyperlink>
      <w:r>
        <w:t xml:space="preserve">.</w:t>
      </w:r>
    </w:p>
    <w:p>
      <w:pPr>
        <w:pStyle w:val="Compact"/>
        <w:numPr>
          <w:ilvl w:val="0"/>
          <w:numId w:val="1002"/>
        </w:numPr>
      </w:pPr>
      <w:r>
        <w:t xml:space="preserve">Macrocytosis and hypersegmented neutrophils are present in B12 deficiency but not in typical TTP</w:t>
      </w:r>
      <w:hyperlink r:id="rId76">
        <w:r>
          <w:rPr>
            <w:rStyle w:val="Hyperlink"/>
          </w:rPr>
          <w:t xml:space="preserve">[57]</w:t>
        </w:r>
      </w:hyperlink>
      <w:hyperlink r:id="rId84">
        <w:r>
          <w:rPr>
            <w:rStyle w:val="Hyperlink"/>
          </w:rPr>
          <w:t xml:space="preserve">[66]</w:t>
        </w:r>
      </w:hyperlink>
      <w:r>
        <w:t xml:space="preserve">.</w:t>
      </w:r>
    </w:p>
    <w:p>
      <w:pPr>
        <w:pStyle w:val="Compact"/>
        <w:numPr>
          <w:ilvl w:val="0"/>
          <w:numId w:val="1002"/>
        </w:numPr>
      </w:pPr>
      <w:r>
        <w:t xml:space="preserve">Critically, ADAMTS13 activity is normal or only mildly reduced, with no ADAMTS13 inhibitor in pseudo-TTP</w:t>
      </w:r>
      <w:hyperlink r:id="rId85">
        <w:r>
          <w:rPr>
            <w:rStyle w:val="Hyperlink"/>
          </w:rPr>
          <w:t xml:space="preserve">[67]</w:t>
        </w:r>
      </w:hyperlink>
      <w:hyperlink r:id="rId86">
        <w:r>
          <w:rPr>
            <w:rStyle w:val="Hyperlink"/>
          </w:rPr>
          <w:t xml:space="preserve">[68]</w:t>
        </w:r>
      </w:hyperlink>
      <w:r>
        <w:t xml:space="preserve">.</w:t>
      </w:r>
    </w:p>
    <w:p>
      <w:pPr>
        <w:pStyle w:val="FirstParagraph"/>
      </w:pPr>
      <w:r>
        <w:t xml:space="preserve">Pseudo-TTP tends to occur in cases of extreme B12 depletion (often due to pernicious anemia) and can be life-threatening if misdiagnosed. Studies indicate it is rare – estimated &lt;5% of severe B12 deficiency cases – but often under-recognized</w:t>
      </w:r>
      <w:hyperlink r:id="rId87">
        <w:r>
          <w:rPr>
            <w:rStyle w:val="Hyperlink"/>
          </w:rPr>
          <w:t xml:space="preserve">[69]</w:t>
        </w:r>
      </w:hyperlink>
      <w:hyperlink r:id="rId88">
        <w:r>
          <w:rPr>
            <w:rStyle w:val="Hyperlink"/>
          </w:rPr>
          <w:t xml:space="preserve">[70]</w:t>
        </w:r>
      </w:hyperlink>
      <w:r>
        <w:t xml:space="preserve">. Alarmingly, up to 40% of reported pseudo-TTP cases were initially misdiagnosed and managed as true TTP, leading to unnecessary plasma exchange therapy</w:t>
      </w:r>
      <w:hyperlink r:id="rId89">
        <w:r>
          <w:rPr>
            <w:rStyle w:val="Hyperlink"/>
          </w:rPr>
          <w:t xml:space="preserve">[71]</w:t>
        </w:r>
      </w:hyperlink>
      <w:hyperlink r:id="rId87">
        <w:r>
          <w:rPr>
            <w:rStyle w:val="Hyperlink"/>
          </w:rPr>
          <w:t xml:space="preserve">[69]</w:t>
        </w:r>
      </w:hyperlink>
      <w:r>
        <w:t xml:space="preserve">. The consequences of missing the diagnosis are significant: plasma exchange in B12 deficiency does not address the underlying problem, whereas B12 replacement leads to rapid hematologic recovery. Thus,</w:t>
      </w:r>
      <w:r>
        <w:t xml:space="preserve"> </w:t>
      </w:r>
      <w:r>
        <w:rPr>
          <w:b/>
          <w:bCs/>
        </w:rPr>
        <w:t xml:space="preserve">clinicians must check vitamin B12 levels in any thrombotic microangiopathy (TMA) presentation with unexplained macrocytosis or pancytopenia</w:t>
      </w:r>
      <w:hyperlink r:id="rId90">
        <w:r>
          <w:rPr>
            <w:rStyle w:val="Hyperlink"/>
          </w:rPr>
          <w:t xml:space="preserve">[72]</w:t>
        </w:r>
      </w:hyperlink>
      <w:hyperlink r:id="rId91">
        <w:r>
          <w:rPr>
            <w:rStyle w:val="Hyperlink"/>
          </w:rPr>
          <w:t xml:space="preserve">[73]</w:t>
        </w:r>
      </w:hyperlink>
      <w:r>
        <w:t xml:space="preserve">. Rapid B12 assay (or at least a blood smear showing macro-ovalocytes and hypersegmented neutrophils) can differentiate pseudo-TTP from true TTP and prevent mismanagement. Once treated with B12, pseudo-TTP typically improves dramatically within days: hemolysis markers normalize and blood counts recover within 1–2 weeks</w:t>
      </w:r>
      <w:hyperlink r:id="rId92">
        <w:r>
          <w:rPr>
            <w:rStyle w:val="Hyperlink"/>
          </w:rPr>
          <w:t xml:space="preserve">[74]</w:t>
        </w:r>
      </w:hyperlink>
      <w:r>
        <w:t xml:space="preserve">. This response (or lack thereof) can itself help confirm the diagnosis, as true TTP would not remit with B12 alone.</w:t>
      </w:r>
    </w:p>
    <w:bookmarkEnd w:id="93"/>
    <w:bookmarkStart w:id="101" w:name="neurological-manifestations"/>
    <w:p>
      <w:pPr>
        <w:pStyle w:val="Heading3"/>
      </w:pPr>
      <w:r>
        <w:t xml:space="preserve">Neurological Manifestations</w:t>
      </w:r>
    </w:p>
    <w:p>
      <w:pPr>
        <w:pStyle w:val="FirstParagraph"/>
      </w:pPr>
      <w:r>
        <w:t xml:space="preserve">Neurologic complications can occur in 20–50% of individuals with B12 deficiency, sometimes even in the absence of anemia</w:t>
      </w:r>
      <w:hyperlink r:id="rId94">
        <w:r>
          <w:rPr>
            <w:rStyle w:val="Hyperlink"/>
          </w:rPr>
          <w:t xml:space="preserve">[75]</w:t>
        </w:r>
      </w:hyperlink>
      <w:r>
        <w:t xml:space="preserve">. Vitamin B12 is vital for myelin synthesis and maintenance, through its role in methylation reactions (methionine synthase produces S-adenosylmethionine for methyl donor pathways) and odd-chain fatty acid metabolism (methylmalonyl-CoA buildup may be toxic to neurons)</w:t>
      </w:r>
      <w:hyperlink r:id="rId95">
        <w:r>
          <w:rPr>
            <w:rStyle w:val="Hyperlink"/>
          </w:rPr>
          <w:t xml:space="preserve">[76]</w:t>
        </w:r>
      </w:hyperlink>
      <w:hyperlink r:id="rId28">
        <w:r>
          <w:rPr>
            <w:rStyle w:val="Hyperlink"/>
          </w:rPr>
          <w:t xml:space="preserve">[8]</w:t>
        </w:r>
      </w:hyperlink>
      <w:r>
        <w:t xml:space="preserve">. Deficiency most classically causes</w:t>
      </w:r>
      <w:r>
        <w:t xml:space="preserve"> </w:t>
      </w:r>
      <w:r>
        <w:rPr>
          <w:b/>
          <w:bCs/>
        </w:rPr>
        <w:t xml:space="preserve">subacute combined degeneration (SCD) of the spinal cord</w:t>
      </w:r>
      <w:r>
        <w:t xml:space="preserve">, affecting the dorsal (posterior) columns and lateral corticospinal tracts. Key neurological features include:</w:t>
      </w:r>
    </w:p>
    <w:p>
      <w:pPr>
        <w:pStyle w:val="Compact"/>
        <w:numPr>
          <w:ilvl w:val="0"/>
          <w:numId w:val="1003"/>
        </w:numPr>
      </w:pPr>
      <w:r>
        <w:rPr>
          <w:b/>
          <w:bCs/>
        </w:rPr>
        <w:t xml:space="preserve">Peripheral Neuropathy:</w:t>
      </w:r>
      <w:r>
        <w:t xml:space="preserve"> </w:t>
      </w:r>
      <w:r>
        <w:t xml:space="preserve">Often an early symptom. Patients experience numbness, tingling (“pins and needles”), or burning sensations in the feet and hands</w:t>
      </w:r>
      <w:hyperlink r:id="rId96">
        <w:r>
          <w:rPr>
            <w:rStyle w:val="Hyperlink"/>
          </w:rPr>
          <w:t xml:space="preserve">[77]</w:t>
        </w:r>
      </w:hyperlink>
      <w:r>
        <w:t xml:space="preserve">. Loss of vibratory sense and proprioception (joint position) in the legs is characteristic, reflecting dorsal column involvement. This can lead to gait ataxia (imbalance, positive Romberg sign) due to impaired proprioception. Distal extremity weakness can occur in a stocking-glove distribution. Deep tendon reflexes may be reduced in advanced cases if peripheral nerves are demyelinated.</w:t>
      </w:r>
    </w:p>
    <w:p>
      <w:pPr>
        <w:pStyle w:val="Compact"/>
        <w:numPr>
          <w:ilvl w:val="0"/>
          <w:numId w:val="1003"/>
        </w:numPr>
      </w:pPr>
      <w:r>
        <w:rPr>
          <w:b/>
          <w:bCs/>
        </w:rPr>
        <w:t xml:space="preserve">Posterior Column Signs:</w:t>
      </w:r>
      <w:r>
        <w:t xml:space="preserve"> </w:t>
      </w:r>
      <w:r>
        <w:t xml:space="preserve">B12 deficiency causes demyelination in the dorsal columns (which carry vibration and proprioceptive signals). Patients may have difficulty with fine touch discrimination, and loss of position sense leading to ataxic gait. Lhermitte’s sign (an “electric shock” sensation down the spine on neck flexion) has been reported in cervical spinal cord B12 lesions.</w:t>
      </w:r>
    </w:p>
    <w:p>
      <w:pPr>
        <w:pStyle w:val="Compact"/>
        <w:numPr>
          <w:ilvl w:val="0"/>
          <w:numId w:val="1003"/>
        </w:numPr>
      </w:pPr>
      <w:r>
        <w:rPr>
          <w:b/>
          <w:bCs/>
        </w:rPr>
        <w:t xml:space="preserve">Pyramidal Tract Signs:</w:t>
      </w:r>
      <w:r>
        <w:t xml:space="preserve"> </w:t>
      </w:r>
      <w:r>
        <w:t xml:space="preserve">Lateral column (corticospinal tract) demyelination can produce upper motor neuron signs such as spasticity, hyperactive reflexes, Babinski’s sign, etc. Classically, the combination of posterior column and corticospinal tract involvement (hence “combined degeneration”) yields a mix of sensory ataxia and spastic weakness.</w:t>
      </w:r>
    </w:p>
    <w:p>
      <w:pPr>
        <w:pStyle w:val="Compact"/>
        <w:numPr>
          <w:ilvl w:val="0"/>
          <w:numId w:val="1003"/>
        </w:numPr>
      </w:pPr>
      <w:r>
        <w:rPr>
          <w:b/>
          <w:bCs/>
        </w:rPr>
        <w:t xml:space="preserve">Cognitive and Psychiatric Changes:</w:t>
      </w:r>
      <w:r>
        <w:t xml:space="preserve"> </w:t>
      </w:r>
      <w:r>
        <w:t xml:space="preserve">Vitamin B12 is important for cerebral metabolism, and deficiency may cause cognitive impairment, memory loss, depression, irritability, and in severe cases even psychosis (“megaloblastic madness”). Some studies have linked B12 deficiency to dementia-like syndromes, though causality is not always clear</w:t>
      </w:r>
      <w:hyperlink r:id="rId97">
        <w:r>
          <w:rPr>
            <w:rStyle w:val="Hyperlink"/>
          </w:rPr>
          <w:t xml:space="preserve">[78]</w:t>
        </w:r>
      </w:hyperlink>
      <w:r>
        <w:t xml:space="preserve">. Elevated homocysteine (due to B12 or folate deficiency) has been associated with vascular cognitive impairment as well</w:t>
      </w:r>
      <w:hyperlink r:id="rId98">
        <w:r>
          <w:rPr>
            <w:rStyle w:val="Hyperlink"/>
          </w:rPr>
          <w:t xml:space="preserve">[79]</w:t>
        </w:r>
      </w:hyperlink>
      <w:r>
        <w:t xml:space="preserve">.</w:t>
      </w:r>
    </w:p>
    <w:p>
      <w:pPr>
        <w:pStyle w:val="Compact"/>
        <w:numPr>
          <w:ilvl w:val="0"/>
          <w:numId w:val="1003"/>
        </w:numPr>
      </w:pPr>
      <w:r>
        <w:rPr>
          <w:b/>
          <w:bCs/>
        </w:rPr>
        <w:t xml:space="preserve">Optic Neuropathy:</w:t>
      </w:r>
      <w:r>
        <w:t xml:space="preserve"> </w:t>
      </w:r>
      <w:r>
        <w:t xml:space="preserve">Rarely, B12 deficiency can cause optic nerve demyelination leading to visual disturbances and central scotomas. This typically occurs only in profound, prolonged deficiency.</w:t>
      </w:r>
    </w:p>
    <w:p>
      <w:pPr>
        <w:pStyle w:val="FirstParagraph"/>
      </w:pPr>
      <w:r>
        <w:t xml:space="preserve">Neurologic symptoms can occur without anemia or macrocytosis in up to one-third of cases – a phenomenon of “isolated” B12 neuropathy</w:t>
      </w:r>
      <w:hyperlink r:id="rId99">
        <w:r>
          <w:rPr>
            <w:rStyle w:val="Hyperlink"/>
          </w:rPr>
          <w:t xml:space="preserve">[80]</w:t>
        </w:r>
      </w:hyperlink>
      <w:hyperlink r:id="rId72">
        <w:r>
          <w:rPr>
            <w:rStyle w:val="Hyperlink"/>
          </w:rPr>
          <w:t xml:space="preserve">[53]</w:t>
        </w:r>
      </w:hyperlink>
      <w:r>
        <w:t xml:space="preserve">. Patients may have normal hemoglobin and MCV, so clinicians should not rule out B12 issues solely because blood counts are normal. This often happens if folate status is high (folate can temporarily rescue RBC production but not prevent neurologic damage). It is crucial to recognize that</w:t>
      </w:r>
      <w:r>
        <w:t xml:space="preserve"> </w:t>
      </w:r>
      <w:r>
        <w:rPr>
          <w:b/>
          <w:bCs/>
        </w:rPr>
        <w:t xml:space="preserve">neurologic damage may become irreversible if B12 deficiency is not treated promptly</w:t>
      </w:r>
      <w:r>
        <w:t xml:space="preserve">. Early B12 replacement can lead to complete or substantial recovery of neurologic function, but prolonged SCD (over 6–12 months or more) may result in permanent deficits</w:t>
      </w:r>
      <w:hyperlink r:id="rId92">
        <w:r>
          <w:rPr>
            <w:rStyle w:val="Hyperlink"/>
          </w:rPr>
          <w:t xml:space="preserve">[74]</w:t>
        </w:r>
      </w:hyperlink>
      <w:r>
        <w:t xml:space="preserve">. Therefore, timely diagnosis is key. According to consensus, any patient with unexplained neuropathy, gait disorder, or cognitive decline should be screened for B12 deficiency regardless of hematologic findings</w:t>
      </w:r>
      <w:hyperlink r:id="rId100">
        <w:r>
          <w:rPr>
            <w:rStyle w:val="Hyperlink"/>
          </w:rPr>
          <w:t xml:space="preserve">[81]</w:t>
        </w:r>
      </w:hyperlink>
      <w:hyperlink r:id="rId61">
        <w:r>
          <w:rPr>
            <w:rStyle w:val="Hyperlink"/>
          </w:rPr>
          <w:t xml:space="preserve">[43]</w:t>
        </w:r>
      </w:hyperlink>
      <w:r>
        <w:t xml:space="preserve">.</w:t>
      </w:r>
    </w:p>
    <w:p>
      <w:pPr>
        <w:pStyle w:val="BodyText"/>
      </w:pPr>
      <w:r>
        <w:t xml:space="preserve">Neurologic involvement usually responds to therapy in the order of symptom appearance: e.g. paresthesias resolve before gait ataxia, which improves before any dementia. In some cases, there can be transient worsening of symptoms in the first 1–2 days of treatment as the nervous system readjusts (rarely, patients report increased paresthesias initially). Overall, the prognosis for neurologic recovery is excellent if treated within weeks of symptom onset; after several months of sustained damage, recovery is often incomplete.</w:t>
      </w:r>
    </w:p>
    <w:bookmarkEnd w:id="101"/>
    <w:bookmarkStart w:id="105" w:name="mucocutaneous-and-other-manifestations"/>
    <w:p>
      <w:pPr>
        <w:pStyle w:val="Heading3"/>
      </w:pPr>
      <w:r>
        <w:t xml:space="preserve">Mucocutaneous and Other Manifestations</w:t>
      </w:r>
    </w:p>
    <w:p>
      <w:pPr>
        <w:pStyle w:val="FirstParagraph"/>
      </w:pPr>
      <w:r>
        <w:t xml:space="preserve">B12 deficiency frequently affects rapidly dividing cells in tissues like epithelium.</w:t>
      </w:r>
      <w:r>
        <w:t xml:space="preserve"> </w:t>
      </w:r>
      <w:r>
        <w:rPr>
          <w:b/>
          <w:bCs/>
        </w:rPr>
        <w:t xml:space="preserve">Glossitis</w:t>
      </w:r>
      <w:r>
        <w:t xml:space="preserve"> </w:t>
      </w:r>
      <w:r>
        <w:t xml:space="preserve">is a hallmark finding: patients may develop an inflamed, beefy-red tongue with loss of papillae (smooth “atrophic glossitis”)</w:t>
      </w:r>
      <w:hyperlink r:id="rId102">
        <w:r>
          <w:rPr>
            <w:rStyle w:val="Hyperlink"/>
          </w:rPr>
          <w:t xml:space="preserve">[82]</w:t>
        </w:r>
      </w:hyperlink>
      <w:r>
        <w:t xml:space="preserve">. They often report a burning sensation of the tongue or altered taste. The presence of glossitis in the setting of anemia is a classic clue for B12 or folate deficiency. Angular cheilitis (fissures at the corners of the mouth) can accompany glossitis. Some individuals have diffuse hyperpigmentation or skin discoloration that reverses with B12 therapy, as well as brittle nails or hair changes, though these are less specific.</w:t>
      </w:r>
    </w:p>
    <w:p>
      <w:pPr>
        <w:pStyle w:val="BodyText"/>
      </w:pPr>
      <w:r>
        <w:t xml:space="preserve">Gastrointestinal symptoms can include anorexia, weight loss, and occasional diarrhea or constipation. Low-grade jaundice may occur due to hemolysis and ineffective erythropoiesis releasing bilirubin</w:t>
      </w:r>
      <w:hyperlink r:id="rId74">
        <w:r>
          <w:rPr>
            <w:rStyle w:val="Hyperlink"/>
          </w:rPr>
          <w:t xml:space="preserve">[55]</w:t>
        </w:r>
      </w:hyperlink>
      <w:r>
        <w:t xml:space="preserve">. Patients sometimes have mild hepatosplenomegaly from extramedullary hematopoiesis in severe cases. Cardiovascularly, hyperhomocysteinemia (from B12/folate deficiency) has been linked to endothelial dysfunction; some studies have associated elevated homocysteine with increased risk of atherosclerosis, stroke, and thrombosis</w:t>
      </w:r>
      <w:hyperlink r:id="rId98">
        <w:r>
          <w:rPr>
            <w:rStyle w:val="Hyperlink"/>
          </w:rPr>
          <w:t xml:space="preserve">[79]</w:t>
        </w:r>
      </w:hyperlink>
      <w:r>
        <w:t xml:space="preserve">. However, trials of homocysteine-lowering vitamins have not demonstrated clear cardiovascular benefit</w:t>
      </w:r>
      <w:hyperlink r:id="rId103">
        <w:r>
          <w:rPr>
            <w:rStyle w:val="Hyperlink"/>
          </w:rPr>
          <w:t xml:space="preserve">[83]</w:t>
        </w:r>
      </w:hyperlink>
      <w:r>
        <w:t xml:space="preserve">, so the clinical significance is debated. Still, very high homocysteine can contribute to a hypercoagulable state.</w:t>
      </w:r>
    </w:p>
    <w:p>
      <w:pPr>
        <w:pStyle w:val="BodyText"/>
      </w:pPr>
      <w:r>
        <w:t xml:space="preserve">One notable association is</w:t>
      </w:r>
      <w:r>
        <w:t xml:space="preserve"> </w:t>
      </w:r>
      <w:r>
        <w:rPr>
          <w:b/>
          <w:bCs/>
        </w:rPr>
        <w:t xml:space="preserve">osteoporosis</w:t>
      </w:r>
      <w:r>
        <w:t xml:space="preserve">: Chronic B12 deficiency has been linked to reduced bone mineral density and an increased risk of fractures</w:t>
      </w:r>
      <w:hyperlink r:id="rId81">
        <w:r>
          <w:rPr>
            <w:rStyle w:val="Hyperlink"/>
          </w:rPr>
          <w:t xml:space="preserve">[62]</w:t>
        </w:r>
      </w:hyperlink>
      <w:hyperlink r:id="rId104">
        <w:r>
          <w:rPr>
            <w:rStyle w:val="Hyperlink"/>
          </w:rPr>
          <w:t xml:space="preserve">[84]</w:t>
        </w:r>
      </w:hyperlink>
      <w:r>
        <w:t xml:space="preserve">. Several mechanisms have been proposed:</w:t>
      </w:r>
      <w:r>
        <w:t xml:space="preserve"> </w:t>
      </w:r>
      <w:r>
        <w:t xml:space="preserve">-</w:t>
      </w:r>
      <w:r>
        <w:t xml:space="preserve"> </w:t>
      </w:r>
      <w:r>
        <w:rPr>
          <w:i/>
          <w:iCs/>
        </w:rPr>
        <w:t xml:space="preserve">Hyperhomocysteinemia-mediated bone damage:</w:t>
      </w:r>
      <w:r>
        <w:t xml:space="preserve"> </w:t>
      </w:r>
      <w:r>
        <w:t xml:space="preserve">Elevated homocysteine may interfere with collagen cross-linking in bone matrix, leading to reduced bone strength</w:t>
      </w:r>
      <w:hyperlink r:id="rId104">
        <w:r>
          <w:rPr>
            <w:rStyle w:val="Hyperlink"/>
          </w:rPr>
          <w:t xml:space="preserve">[84]</w:t>
        </w:r>
      </w:hyperlink>
      <w:r>
        <w:t xml:space="preserve">.</w:t>
      </w:r>
      <w:r>
        <w:t xml:space="preserve"> </w:t>
      </w:r>
      <w:r>
        <w:t xml:space="preserve">-</w:t>
      </w:r>
      <w:r>
        <w:t xml:space="preserve"> </w:t>
      </w:r>
      <w:r>
        <w:rPr>
          <w:i/>
          <w:iCs/>
        </w:rPr>
        <w:t xml:space="preserve">Impaired osteoblast function:</w:t>
      </w:r>
      <w:r>
        <w:t xml:space="preserve"> </w:t>
      </w:r>
      <w:r>
        <w:t xml:space="preserve">B12 is thought to play a role in osteoblast maturation, possibly via SAMe-dependent methylation reactions. Deficiency may blunt osteoblast activity (evidenced by some animal models).</w:t>
      </w:r>
      <w:r>
        <w:t xml:space="preserve"> </w:t>
      </w:r>
      <w:r>
        <w:t xml:space="preserve">-</w:t>
      </w:r>
      <w:r>
        <w:t xml:space="preserve"> </w:t>
      </w:r>
      <w:r>
        <w:rPr>
          <w:i/>
          <w:iCs/>
        </w:rPr>
        <w:t xml:space="preserve">Hypochlorhydria and nutrition:</w:t>
      </w:r>
      <w:r>
        <w:t xml:space="preserve"> </w:t>
      </w:r>
      <w:r>
        <w:t xml:space="preserve">Pernicious anemia patients have achlorhydria which can impair calcium absorption and secondary vitamin D metabolism, indirectly contributing to bone loss</w:t>
      </w:r>
      <w:hyperlink r:id="rId104">
        <w:r>
          <w:rPr>
            <w:rStyle w:val="Hyperlink"/>
          </w:rPr>
          <w:t xml:space="preserve">[84]</w:t>
        </w:r>
      </w:hyperlink>
      <w:r>
        <w:t xml:space="preserve">.</w:t>
      </w:r>
      <w:r>
        <w:t xml:space="preserve"> </w:t>
      </w:r>
      <w:r>
        <w:t xml:space="preserve">-</w:t>
      </w:r>
      <w:r>
        <w:t xml:space="preserve"> </w:t>
      </w:r>
      <w:r>
        <w:rPr>
          <w:i/>
          <w:iCs/>
        </w:rPr>
        <w:t xml:space="preserve">Methylmalonic acid toxicity:</w:t>
      </w:r>
      <w:r>
        <w:t xml:space="preserve"> </w:t>
      </w:r>
      <w:r>
        <w:t xml:space="preserve">Accumulation of MMA might have a direct toxic effect on osteoclast or osteoblast function (less clearly established)</w:t>
      </w:r>
      <w:hyperlink r:id="rId104">
        <w:r>
          <w:rPr>
            <w:rStyle w:val="Hyperlink"/>
          </w:rPr>
          <w:t xml:space="preserve">[84]</w:t>
        </w:r>
      </w:hyperlink>
      <w:r>
        <w:t xml:space="preserve">.</w:t>
      </w:r>
    </w:p>
    <w:p>
      <w:pPr>
        <w:pStyle w:val="BodyText"/>
      </w:pPr>
      <w:r>
        <w:t xml:space="preserve">Epidemiologically, studies find that adults with low B12 levels tend to have lower BMD and higher fracture rates, even after controlling for age. One meta-analysis noted that B12 deficient individuals had increased odds of osteoporosis and that treating deficiency might improve bone turnover markers</w:t>
      </w:r>
      <w:hyperlink r:id="rId81">
        <w:r>
          <w:rPr>
            <w:rStyle w:val="Hyperlink"/>
          </w:rPr>
          <w:t xml:space="preserve">[62]</w:t>
        </w:r>
      </w:hyperlink>
      <w:r>
        <w:t xml:space="preserve">. Therefore, it is recommended to ensure adequate B12 levels, particularly in older patients at risk for osteoporosis. Patients with pernicious anemia should be counseled about bone health and monitored for osteoporosis as part of long-term management</w:t>
      </w:r>
      <w:hyperlink r:id="rId81">
        <w:r>
          <w:rPr>
            <w:rStyle w:val="Hyperlink"/>
          </w:rPr>
          <w:t xml:space="preserve">[62]</w:t>
        </w:r>
      </w:hyperlink>
      <w:r>
        <w:t xml:space="preserve">.</w:t>
      </w:r>
    </w:p>
    <w:bookmarkEnd w:id="105"/>
    <w:bookmarkStart w:id="110" w:name="autoimmune-associations"/>
    <w:p>
      <w:pPr>
        <w:pStyle w:val="Heading3"/>
      </w:pPr>
      <w:r>
        <w:t xml:space="preserve">Autoimmune Associations</w:t>
      </w:r>
    </w:p>
    <w:p>
      <w:pPr>
        <w:pStyle w:val="FirstParagraph"/>
      </w:pPr>
      <w:r>
        <w:t xml:space="preserve">Pernicious anemia is often associated with other autoimmune diseases. A common clinical scenario is a patient with known autoimmune thyroid disease or type 1 diabetes who is later found to have B12 deficiency. These associations stem from shared genetic susceptibilities (e.g. HLA genes) predisposing to autoimmune polyglandular syndromes. Notable overlaps include:</w:t>
      </w:r>
    </w:p>
    <w:p>
      <w:pPr>
        <w:numPr>
          <w:ilvl w:val="0"/>
          <w:numId w:val="1004"/>
        </w:numPr>
      </w:pPr>
      <w:r>
        <w:rPr>
          <w:b/>
          <w:bCs/>
        </w:rPr>
        <w:t xml:space="preserve">Autoimmune Thyroid Disease:</w:t>
      </w:r>
      <w:r>
        <w:t xml:space="preserve"> </w:t>
      </w:r>
      <w:r>
        <w:t xml:space="preserve">There is a strong link between pernicious anemia and Hashimoto’s thyroiditis (and to a lesser extent Graves’ disease). Approximately 15–27% of patients with autoimmune hypothyroidism have evidence of B12 deficiency or pernicious anemia</w:t>
      </w:r>
      <w:hyperlink r:id="rId106">
        <w:r>
          <w:rPr>
            <w:rStyle w:val="Hyperlink"/>
          </w:rPr>
          <w:t xml:space="preserve">[85]</w:t>
        </w:r>
      </w:hyperlink>
      <w:hyperlink r:id="rId61">
        <w:r>
          <w:rPr>
            <w:rStyle w:val="Hyperlink"/>
          </w:rPr>
          <w:t xml:space="preserve">[43]</w:t>
        </w:r>
      </w:hyperlink>
      <w:r>
        <w:t xml:space="preserve">. Conversely, around 10–15% of pernicious anemia patients have autoimmune thyroid disease. One large study found 27% of hypothyroid patients had low B12 levels</w:t>
      </w:r>
      <w:hyperlink r:id="rId106">
        <w:r>
          <w:rPr>
            <w:rStyle w:val="Hyperlink"/>
          </w:rPr>
          <w:t xml:space="preserve">[85]</w:t>
        </w:r>
      </w:hyperlink>
      <w:r>
        <w:t xml:space="preserve">. Additionally,</w:t>
      </w:r>
      <w:r>
        <w:t xml:space="preserve"> </w:t>
      </w:r>
      <w:r>
        <w:rPr>
          <w:i/>
          <w:iCs/>
        </w:rPr>
        <w:t xml:space="preserve">anti-parietal cell antibodies (APCA)</w:t>
      </w:r>
      <w:r>
        <w:t xml:space="preserve"> </w:t>
      </w:r>
      <w:r>
        <w:t xml:space="preserve">are detected in about 20–30% of patients with Hashimoto’s thyroiditis, even if B12 levels are not yet low</w:t>
      </w:r>
      <w:hyperlink r:id="rId107">
        <w:r>
          <w:rPr>
            <w:rStyle w:val="Hyperlink"/>
          </w:rPr>
          <w:t xml:space="preserve">[86]</w:t>
        </w:r>
      </w:hyperlink>
      <w:r>
        <w:t xml:space="preserve">. This suggests a subset of thyroid patients have subclinical autoimmune gastritis. These findings warrant a low threshold for B12 testing in any patient with unexplained anemia or neuropathy who has autoimmune thyroid disease. Some guidelines recommend periodic B12 screening in patients with Hashimoto’s thyroiditis given the frequency of co-occurrence</w:t>
      </w:r>
      <w:hyperlink r:id="rId61">
        <w:r>
          <w:rPr>
            <w:rStyle w:val="Hyperlink"/>
          </w:rPr>
          <w:t xml:space="preserve">[43]</w:t>
        </w:r>
      </w:hyperlink>
      <w:r>
        <w:t xml:space="preserve">.</w:t>
      </w:r>
    </w:p>
    <w:p>
      <w:pPr>
        <w:numPr>
          <w:ilvl w:val="0"/>
          <w:numId w:val="1004"/>
        </w:numPr>
      </w:pPr>
      <w:r>
        <w:rPr>
          <w:b/>
          <w:bCs/>
        </w:rPr>
        <w:t xml:space="preserve">Type 1 Diabetes Mellitus:</w:t>
      </w:r>
      <w:r>
        <w:t xml:space="preserve"> </w:t>
      </w:r>
      <w:r>
        <w:t xml:space="preserve">Type 1 diabetic patients are at increased risk for pernicious anemia as part of the Type 1 polyglandular autoimmune syndrome. About 5% of T1DM patients show B12 deficiency in cohorts studied</w:t>
      </w:r>
      <w:hyperlink r:id="rId108">
        <w:r>
          <w:rPr>
            <w:rStyle w:val="Hyperlink"/>
          </w:rPr>
          <w:t xml:space="preserve">[87]</w:t>
        </w:r>
      </w:hyperlink>
      <w:hyperlink r:id="rId61">
        <w:r>
          <w:rPr>
            <w:rStyle w:val="Hyperlink"/>
          </w:rPr>
          <w:t xml:space="preserve">[43]</w:t>
        </w:r>
      </w:hyperlink>
      <w:r>
        <w:t xml:space="preserve">. While this percentage is lower than for thyroid disease, it is still above the general population prevalence. Moreover, metformin use in diabetics (as many T1Ds may take metformin for insulin resistance or T2DM overlap) can further increase risk. Routine screening for B12 every few years in T1DM, especially those with other autoimmunity, is reasonable. The presence of other autoimmune markers (thyroid, adrenal, etc.) in a diabetic should prompt checking B12 as well.</w:t>
      </w:r>
    </w:p>
    <w:p>
      <w:pPr>
        <w:numPr>
          <w:ilvl w:val="0"/>
          <w:numId w:val="1004"/>
        </w:numPr>
      </w:pPr>
      <w:r>
        <w:rPr>
          <w:b/>
          <w:bCs/>
        </w:rPr>
        <w:t xml:space="preserve">Autoimmune Polyglandular Syndromes (APS):</w:t>
      </w:r>
      <w:r>
        <w:t xml:space="preserve"> </w:t>
      </w:r>
      <w:r>
        <w:t xml:space="preserve">Pernicious anemia is a component of APS type 2 (Schmidt’s syndrome) along with autoimmune adrenal insufficiency (Addison’s disease) and thyroid autoimmunity. Patients (often middle-aged females) can present with this triad. Anyone with Addison’s disease or unexplained chronic hypotension and fatigue should have B12 evaluated, as undiagnosed pernicious anemia can exacerbate the anemia and fatigue of adrenal insufficiency. Likewise, vitiligo and autoimmune alopecia areata have higher incidence in PA patients, reflecting general autoimmunity. Overall, the presence of one autoimmune condition should raise awareness for others, and B12 deficiency is a treatable one that should not be missed. One study showed 5–29% of patients with T1DM have some concurrent autoimmune disorder</w:t>
      </w:r>
      <w:hyperlink r:id="rId108">
        <w:r>
          <w:rPr>
            <w:rStyle w:val="Hyperlink"/>
          </w:rPr>
          <w:t xml:space="preserve">[87]</w:t>
        </w:r>
      </w:hyperlink>
      <w:r>
        <w:t xml:space="preserve"> </w:t>
      </w:r>
      <w:r>
        <w:t xml:space="preserve">– B12 deficiency being among the common ones.</w:t>
      </w:r>
    </w:p>
    <w:p>
      <w:pPr>
        <w:numPr>
          <w:ilvl w:val="0"/>
          <w:numId w:val="1004"/>
        </w:numPr>
      </w:pPr>
      <w:r>
        <w:rPr>
          <w:b/>
          <w:bCs/>
        </w:rPr>
        <w:t xml:space="preserve">Other Autoimmune Diseases:</w:t>
      </w:r>
      <w:r>
        <w:t xml:space="preserve"> </w:t>
      </w:r>
      <w:r>
        <w:t xml:space="preserve">Systemic lupus erythematosus, rheumatoid arthritis, and Sjögren’s syndrome have occasional associations with pernicious anemia, though less common. Celiac disease (autoimmune gluten-sensitive enteropathy) can cause malabsorption including B12 malabsorption if there is ileal involvement, and there is some overlap between celiac and PA beyond pure malabsorptive mechanism (perhaps shared HLA).</w:t>
      </w:r>
    </w:p>
    <w:p>
      <w:pPr>
        <w:pStyle w:val="FirstParagraph"/>
      </w:pPr>
      <w:r>
        <w:t xml:space="preserve">In summary, clinicians managing patients with autoimmune disorders (thyroid, T1DM, Addison’s, celiac, etc.) should maintain a high index of suspicion for B12 deficiency. Up to one-quarter of patients in some autoimmune cohorts have APCA positivity or subclinical B12 deficiency</w:t>
      </w:r>
      <w:hyperlink r:id="rId107">
        <w:r>
          <w:rPr>
            <w:rStyle w:val="Hyperlink"/>
          </w:rPr>
          <w:t xml:space="preserve">[86]</w:t>
        </w:r>
      </w:hyperlink>
      <w:hyperlink r:id="rId47">
        <w:r>
          <w:rPr>
            <w:rStyle w:val="Hyperlink"/>
          </w:rPr>
          <w:t xml:space="preserve">[88]</w:t>
        </w:r>
      </w:hyperlink>
      <w:r>
        <w:t xml:space="preserve">. Regular screening for B12 status can be justified in these high-risk groups, as recommended by expert consensus</w:t>
      </w:r>
      <w:hyperlink r:id="rId109">
        <w:r>
          <w:rPr>
            <w:rStyle w:val="Hyperlink"/>
          </w:rPr>
          <w:t xml:space="preserve">[89]</w:t>
        </w:r>
      </w:hyperlink>
      <w:hyperlink r:id="rId61">
        <w:r>
          <w:rPr>
            <w:rStyle w:val="Hyperlink"/>
          </w:rPr>
          <w:t xml:space="preserve">[43]</w:t>
        </w:r>
      </w:hyperlink>
      <w:r>
        <w:t xml:space="preserve">.</w:t>
      </w:r>
    </w:p>
    <w:bookmarkEnd w:id="110"/>
    <w:bookmarkEnd w:id="111"/>
    <w:bookmarkStart w:id="129" w:name="diagnosis-of-vitamin-b12-deficiency"/>
    <w:p>
      <w:pPr>
        <w:pStyle w:val="Heading2"/>
      </w:pPr>
      <w:r>
        <w:t xml:space="preserve">Diagnosis of Vitamin B12 Deficiency</w:t>
      </w:r>
    </w:p>
    <w:p>
      <w:pPr>
        <w:pStyle w:val="FirstParagraph"/>
      </w:pPr>
      <w:r>
        <w:t xml:space="preserve">Diagnosing B12 deficiency can be challenging, as no single test is 100% reliable and clinical presentation is variable. A combination of clinical assessment and laboratory investigations is used, and it’s important to be aware of pitfalls that can lead to missed or incorrect diagnoses. Key diagnostic tools include serum B12 level, methylmalonic acid, homocysteine, holotranscobalamin, and antiparietal cell/intrinsic factor antibody tests. The approach can be outlined as follows:</w:t>
      </w:r>
    </w:p>
    <w:p>
      <w:pPr>
        <w:pStyle w:val="BodyText"/>
      </w:pPr>
      <w:r>
        <w:rPr>
          <w:b/>
          <w:bCs/>
        </w:rPr>
        <w:t xml:space="preserve">Initial Screening – Serum B12 (Total Cobalamin):</w:t>
      </w:r>
      <w:r>
        <w:t xml:space="preserve"> </w:t>
      </w:r>
      <w:r>
        <w:t xml:space="preserve">The first-line test is typically the total serum B12 concentration. Levels are measured in</w:t>
      </w:r>
      <w:r>
        <w:t xml:space="preserve"> </w:t>
      </w:r>
      <w:r>
        <w:rPr>
          <w:i/>
          <w:iCs/>
        </w:rPr>
        <w:t xml:space="preserve">pg/mL</w:t>
      </w:r>
      <w:r>
        <w:t xml:space="preserve"> </w:t>
      </w:r>
      <w:r>
        <w:t xml:space="preserve">or</w:t>
      </w:r>
      <w:r>
        <w:t xml:space="preserve"> </w:t>
      </w:r>
      <w:r>
        <w:rPr>
          <w:i/>
          <w:iCs/>
        </w:rPr>
        <w:t xml:space="preserve">pmol/L</w:t>
      </w:r>
      <w:r>
        <w:t xml:space="preserve"> </w:t>
      </w:r>
      <w:r>
        <w:t xml:space="preserve">(1 pg/mL ≈ 0.738 pmol/L). Each laboratory has its reference range, but generally:</w:t>
      </w:r>
      <w:r>
        <w:t xml:space="preserve"> </w:t>
      </w:r>
      <w:r>
        <w:t xml:space="preserve">-</w:t>
      </w:r>
      <w:r>
        <w:t xml:space="preserve"> </w:t>
      </w:r>
      <w:r>
        <w:rPr>
          <w:b/>
          <w:bCs/>
        </w:rPr>
        <w:t xml:space="preserve">Normal:</w:t>
      </w:r>
      <w:r>
        <w:t xml:space="preserve"> </w:t>
      </w:r>
      <w:r>
        <w:t xml:space="preserve">~&gt;300 pg/mL (≈221 pmol/L). Many labs use 200–900 pg/mL as normal, but values at the low end of this range may still be associated with deficiency symptoms in some patients</w:t>
      </w:r>
      <w:hyperlink r:id="rId112">
        <w:r>
          <w:rPr>
            <w:rStyle w:val="Hyperlink"/>
          </w:rPr>
          <w:t xml:space="preserve">[90]</w:t>
        </w:r>
      </w:hyperlink>
      <w:hyperlink r:id="rId113">
        <w:r>
          <w:rPr>
            <w:rStyle w:val="Hyperlink"/>
          </w:rPr>
          <w:t xml:space="preserve">[91]</w:t>
        </w:r>
      </w:hyperlink>
      <w:r>
        <w:t xml:space="preserve">.</w:t>
      </w:r>
      <w:r>
        <w:t xml:space="preserve"> </w:t>
      </w:r>
      <w:r>
        <w:t xml:space="preserve">-</w:t>
      </w:r>
      <w:r>
        <w:t xml:space="preserve"> </w:t>
      </w:r>
      <w:r>
        <w:rPr>
          <w:b/>
          <w:bCs/>
        </w:rPr>
        <w:t xml:space="preserve">Deficient:</w:t>
      </w:r>
      <w:r>
        <w:t xml:space="preserve"> </w:t>
      </w:r>
      <w:r>
        <w:t xml:space="preserve">&lt;~200 pg/mL (≈148 pmol/L) is a strong indicator of deficiency</w:t>
      </w:r>
      <w:hyperlink r:id="rId114">
        <w:r>
          <w:rPr>
            <w:rStyle w:val="Hyperlink"/>
          </w:rPr>
          <w:t xml:space="preserve">[92]</w:t>
        </w:r>
      </w:hyperlink>
      <w:hyperlink r:id="rId115">
        <w:r>
          <w:rPr>
            <w:rStyle w:val="Hyperlink"/>
          </w:rPr>
          <w:t xml:space="preserve">[93]</w:t>
        </w:r>
      </w:hyperlink>
      <w:r>
        <w:t xml:space="preserve">, especially if clinical signs are present. For example, the BMJ and WHO define B12 deficiency as serum B12 &lt;148 pmol/L</w:t>
      </w:r>
      <w:hyperlink r:id="rId114">
        <w:r>
          <w:rPr>
            <w:rStyle w:val="Hyperlink"/>
          </w:rPr>
          <w:t xml:space="preserve">[92]</w:t>
        </w:r>
      </w:hyperlink>
      <w:r>
        <w:t xml:space="preserve">. Patients with levels this low or lower are usually truly B12 deficient.</w:t>
      </w:r>
      <w:r>
        <w:t xml:space="preserve"> </w:t>
      </w:r>
      <w:r>
        <w:t xml:space="preserve">-</w:t>
      </w:r>
      <w:r>
        <w:t xml:space="preserve"> </w:t>
      </w:r>
      <w:r>
        <w:rPr>
          <w:b/>
          <w:bCs/>
        </w:rPr>
        <w:t xml:space="preserve">Borderline (Indeterminate):</w:t>
      </w:r>
      <w:r>
        <w:t xml:space="preserve"> </w:t>
      </w:r>
      <w:r>
        <w:t xml:space="preserve">~200–300 pg/mL (148–221 pmol/L) – within this “gray zone,” a significant number of patients may have tissue-level B12 deficiency despite a “near normal” B12 level</w:t>
      </w:r>
      <w:hyperlink r:id="rId112">
        <w:r>
          <w:rPr>
            <w:rStyle w:val="Hyperlink"/>
          </w:rPr>
          <w:t xml:space="preserve">[90]</w:t>
        </w:r>
      </w:hyperlink>
      <w:hyperlink r:id="rId115">
        <w:r>
          <w:rPr>
            <w:rStyle w:val="Hyperlink"/>
          </w:rPr>
          <w:t xml:space="preserve">[93]</w:t>
        </w:r>
      </w:hyperlink>
      <w:r>
        <w:t xml:space="preserve">. About 5–10% of people in this range have elevated MMA/homocysteine confirming deficiency, while others are just on the low side of normal.</w:t>
      </w:r>
    </w:p>
    <w:p>
      <w:pPr>
        <w:pStyle w:val="BodyText"/>
      </w:pPr>
      <w:r>
        <w:t xml:space="preserve">If B12 is clearly low (&lt;148 pmol/L) and the patient has compatible symptoms or macrocytosis, one can reasonably treat and/or further investigate the cause. If B12 is unequivocally normal (&gt;300 pmol/L) and there is no strong clinical suspicion, deficiency is unlikely (though not impossible, as discussed below). The challenge is the intermediate values – here additional tests are required to confirm deficiency. Modern assays are fairly specific but not very sensitive in the borderline range; some patients with neurological symptoms have B12 even in the 200–400 pmol/L range</w:t>
      </w:r>
      <w:hyperlink r:id="rId99">
        <w:r>
          <w:rPr>
            <w:rStyle w:val="Hyperlink"/>
          </w:rPr>
          <w:t xml:space="preserve">[80]</w:t>
        </w:r>
      </w:hyperlink>
      <w:hyperlink r:id="rId72">
        <w:r>
          <w:rPr>
            <w:rStyle w:val="Hyperlink"/>
          </w:rPr>
          <w:t xml:space="preserve">[53]</w:t>
        </w:r>
      </w:hyperlink>
      <w:r>
        <w:t xml:space="preserve">.</w:t>
      </w:r>
    </w:p>
    <w:p>
      <w:pPr>
        <w:pStyle w:val="BodyText"/>
      </w:pPr>
      <w:r>
        <w:rPr>
          <w:b/>
          <w:bCs/>
        </w:rPr>
        <w:t xml:space="preserve">Metabolic Confirmation – MMA and Homocysteine:</w:t>
      </w:r>
      <w:r>
        <w:t xml:space="preserve"> </w:t>
      </w:r>
      <w:r>
        <w:t xml:space="preserve">Methylmalonic acid (MMA) and total homocysteine are functional biomarkers that accumulate when B12 is insufficient:</w:t>
      </w:r>
      <w:r>
        <w:t xml:space="preserve"> </w:t>
      </w:r>
      <w:r>
        <w:t xml:space="preserve">-</w:t>
      </w:r>
      <w:r>
        <w:t xml:space="preserve"> </w:t>
      </w:r>
      <w:r>
        <w:rPr>
          <w:b/>
          <w:bCs/>
        </w:rPr>
        <w:t xml:space="preserve">MMA:</w:t>
      </w:r>
      <w:r>
        <w:t xml:space="preserve"> </w:t>
      </w:r>
      <w:r>
        <w:t xml:space="preserve">Elevated methylmalonic acid is a specific indicator of cellular B12 deficiency, since MMA is converted to succinyl-CoA by a B12-dependent enzyme. An increased serum MMA strongly suggests B12 deficiency (normal ~0.00–0.4 μmol/L; levels &gt;0.4–0.5 are often considered elevated, though reference ranges vary)</w:t>
      </w:r>
      <w:hyperlink r:id="rId116">
        <w:r>
          <w:rPr>
            <w:rStyle w:val="Hyperlink"/>
          </w:rPr>
          <w:t xml:space="preserve">[94]</w:t>
        </w:r>
      </w:hyperlink>
      <w:hyperlink r:id="rId113">
        <w:r>
          <w:rPr>
            <w:rStyle w:val="Hyperlink"/>
          </w:rPr>
          <w:t xml:space="preserve">[91]</w:t>
        </w:r>
      </w:hyperlink>
      <w:r>
        <w:t xml:space="preserve">. MMA is more specific to B12 than homocysteine, as folate or B6 status does not affect MMA. However, renal impairment can raise MMA (due to reduced excretion) leading to false positives in patients with kidney disease. In an elderly patient or one with CKD, an elevated MMA must be interpreted with caution. Still, MMA is considered the gold-standard biochemical marker; a normal MMA essentially rules out significant B12 deficiency in an asymptomatic patient</w:t>
      </w:r>
      <w:hyperlink r:id="rId117">
        <w:r>
          <w:rPr>
            <w:rStyle w:val="Hyperlink"/>
          </w:rPr>
          <w:t xml:space="preserve">[95]</w:t>
        </w:r>
      </w:hyperlink>
      <w:hyperlink r:id="rId118">
        <w:r>
          <w:rPr>
            <w:rStyle w:val="Hyperlink"/>
          </w:rPr>
          <w:t xml:space="preserve">[96]</w:t>
        </w:r>
      </w:hyperlink>
      <w:r>
        <w:t xml:space="preserve">. Elevated MMA in a patient with borderline B12 confirms a true tissue deficiency and need for treatment</w:t>
      </w:r>
      <w:hyperlink r:id="rId100">
        <w:r>
          <w:rPr>
            <w:rStyle w:val="Hyperlink"/>
          </w:rPr>
          <w:t xml:space="preserve">[81]</w:t>
        </w:r>
      </w:hyperlink>
      <w:r>
        <w:t xml:space="preserve">.</w:t>
      </w:r>
      <w:r>
        <w:t xml:space="preserve"> </w:t>
      </w:r>
      <w:r>
        <w:t xml:space="preserve">-</w:t>
      </w:r>
      <w:r>
        <w:t xml:space="preserve"> </w:t>
      </w:r>
      <w:r>
        <w:rPr>
          <w:b/>
          <w:bCs/>
        </w:rPr>
        <w:t xml:space="preserve">Homocysteine:</w:t>
      </w:r>
      <w:r>
        <w:t xml:space="preserve"> </w:t>
      </w:r>
      <w:r>
        <w:t xml:space="preserve">Total homocysteine rises in both B12 and folate deficiencies (normal ~5–15 μmol/L; often &gt;20 if deficient). It lacks specificity – B6 status, renal function, and genetic factors (MTHFR polymorphisms) also influence homocysteine – but it is a sensitive indicator of any methylation pathway disruption. In B12 deficiency, homocysteine is typically elevated along with MMA</w:t>
      </w:r>
      <w:hyperlink r:id="rId100">
        <w:r>
          <w:rPr>
            <w:rStyle w:val="Hyperlink"/>
          </w:rPr>
          <w:t xml:space="preserve">[81]</w:t>
        </w:r>
      </w:hyperlink>
      <w:r>
        <w:t xml:space="preserve">. If homocysteine is normal and MMA is normal, significant B12 deficiency is very unlikely. Homocysteine testing is more widely available and cheaper than MMA, so some protocols use it as an initial second test, often alongside folate levels, to differentiate which vitamin is lacking. An isolated homocysteine elevation with normal MMA would point more toward folate or B6 issues.</w:t>
      </w:r>
    </w:p>
    <w:p>
      <w:pPr>
        <w:pStyle w:val="BodyText"/>
      </w:pPr>
      <w:r>
        <w:rPr>
          <w:b/>
          <w:bCs/>
        </w:rPr>
        <w:t xml:space="preserve">Holotranscobalamin (Active B12):</w:t>
      </w:r>
      <w:r>
        <w:t xml:space="preserve"> </w:t>
      </w:r>
      <w:r>
        <w:t xml:space="preserve">Holotranscobalamin II is the fraction of B12 bound to transcobalamin and available for cellular uptake. It is thought to reflect the bioactive B12 better than total serum B12 (much of which is on haptocorrin and not usable by cells). A low holoTC (&lt;35 pmol/L, some use &lt;25 pmol/L) can indicate early B12 deficiency even when total B12 is borderline</w:t>
      </w:r>
      <w:hyperlink r:id="rId119">
        <w:r>
          <w:rPr>
            <w:rStyle w:val="Hyperlink"/>
          </w:rPr>
          <w:t xml:space="preserve">[97]</w:t>
        </w:r>
      </w:hyperlink>
      <w:hyperlink r:id="rId120">
        <w:r>
          <w:rPr>
            <w:rStyle w:val="Hyperlink"/>
          </w:rPr>
          <w:t xml:space="preserve">[98]</w:t>
        </w:r>
      </w:hyperlink>
      <w:r>
        <w:t xml:space="preserve">. HoloTC may become low before total B12 drops, since as stores deplete the circulating active fraction falls first. The use of holoTC as a first-line test has been debated: it can reduce the indeterminate “gray zone” results and may detect deficiency earlier</w:t>
      </w:r>
      <w:hyperlink r:id="rId121">
        <w:r>
          <w:rPr>
            <w:rStyle w:val="Hyperlink"/>
          </w:rPr>
          <w:t xml:space="preserve">[99]</w:t>
        </w:r>
      </w:hyperlink>
      <w:hyperlink r:id="rId120">
        <w:r>
          <w:rPr>
            <w:rStyle w:val="Hyperlink"/>
          </w:rPr>
          <w:t xml:space="preserve">[98]</w:t>
        </w:r>
      </w:hyperlink>
      <w:r>
        <w:t xml:space="preserve">. The 2024 UK</w:t>
      </w:r>
      <w:r>
        <w:t xml:space="preserve"> </w:t>
      </w:r>
      <w:r>
        <w:rPr>
          <w:b/>
          <w:bCs/>
        </w:rPr>
        <w:t xml:space="preserve">NICE</w:t>
      </w:r>
      <w:r>
        <w:t xml:space="preserve"> </w:t>
      </w:r>
      <w:r>
        <w:t xml:space="preserve">guidelines explicitly state that either total B12</w:t>
      </w:r>
      <w:r>
        <w:t xml:space="preserve"> </w:t>
      </w:r>
      <w:r>
        <w:rPr>
          <w:i/>
          <w:iCs/>
        </w:rPr>
        <w:t xml:space="preserve">or</w:t>
      </w:r>
      <w:r>
        <w:t xml:space="preserve"> </w:t>
      </w:r>
      <w:r>
        <w:t xml:space="preserve">active B12 is acceptable as an initial test</w:t>
      </w:r>
      <w:hyperlink r:id="rId119">
        <w:r>
          <w:rPr>
            <w:rStyle w:val="Hyperlink"/>
          </w:rPr>
          <w:t xml:space="preserve">[97]</w:t>
        </w:r>
      </w:hyperlink>
      <w:hyperlink r:id="rId122">
        <w:r>
          <w:rPr>
            <w:rStyle w:val="Hyperlink"/>
          </w:rPr>
          <w:t xml:space="preserve">[100]</w:t>
        </w:r>
      </w:hyperlink>
      <w:r>
        <w:t xml:space="preserve">. Active B12 is particularly recommended in situations like pregnancy where changes in binding proteins make total B12 hard to interpret</w:t>
      </w:r>
      <w:hyperlink r:id="rId120">
        <w:r>
          <w:rPr>
            <w:rStyle w:val="Hyperlink"/>
          </w:rPr>
          <w:t xml:space="preserve">[98]</w:t>
        </w:r>
      </w:hyperlink>
      <w:r>
        <w:t xml:space="preserve">. However, holoTC assays are not universally available and can themselves have a gray zone. In practice, most clinicians still rely on total B12 and then confirm with MMA/homocysteine if needed. A low holoTC &lt;25 pmol/L strongly suggests deficiency, while a value &gt;50 pmol/L likely rules it out; intermediate values would proceed to MMA testing</w:t>
      </w:r>
      <w:hyperlink r:id="rId121">
        <w:r>
          <w:rPr>
            <w:rStyle w:val="Hyperlink"/>
          </w:rPr>
          <w:t xml:space="preserve">[99]</w:t>
        </w:r>
      </w:hyperlink>
      <w:hyperlink r:id="rId120">
        <w:r>
          <w:rPr>
            <w:rStyle w:val="Hyperlink"/>
          </w:rPr>
          <w:t xml:space="preserve">[98]</w:t>
        </w:r>
      </w:hyperlink>
      <w:r>
        <w:t xml:space="preserve">.</w:t>
      </w:r>
    </w:p>
    <w:p>
      <w:pPr>
        <w:pStyle w:val="BodyText"/>
      </w:pPr>
      <w:r>
        <w:rPr>
          <w:b/>
          <w:bCs/>
        </w:rPr>
        <w:t xml:space="preserve">Complete Blood Count and Blood Smear:</w:t>
      </w:r>
      <w:r>
        <w:t xml:space="preserve"> </w:t>
      </w:r>
      <w:r>
        <w:t xml:space="preserve">While not specific, the CBC often provides important clues:</w:t>
      </w:r>
      <w:r>
        <w:t xml:space="preserve"> </w:t>
      </w:r>
      <w:r>
        <w:t xml:space="preserve">- Macrocytosis (MCV &gt;100) is classic, but remember ~10% of B12-deficient patients have normocytic or even microcytic RBCs (especially if combined iron deficiency or thalassemia trait is present)</w:t>
      </w:r>
      <w:hyperlink r:id="rId73">
        <w:r>
          <w:rPr>
            <w:rStyle w:val="Hyperlink"/>
          </w:rPr>
          <w:t xml:space="preserve">[54]</w:t>
        </w:r>
      </w:hyperlink>
      <w:r>
        <w:t xml:space="preserve">. An elevated MCV in an anemic patient without excess alcohol intake or liver disease should prompt B12/folate evaluation.</w:t>
      </w:r>
      <w:r>
        <w:t xml:space="preserve"> </w:t>
      </w:r>
      <w:r>
        <w:t xml:space="preserve">- Pancytopenia suggests a megaloblastic process if other causes (aplastic anemia, hypersplenism) are excluded.</w:t>
      </w:r>
      <w:r>
        <w:t xml:space="preserve"> </w:t>
      </w:r>
      <w:r>
        <w:t xml:space="preserve">- Hypersegmented neutrophils on smear (≥5 lobes in &gt;5% of neutrophils, or any neutrophil with ≥6 lobes) are a tell-tale sign of megaloblastic anemia</w:t>
      </w:r>
      <w:hyperlink r:id="rId76">
        <w:r>
          <w:rPr>
            <w:rStyle w:val="Hyperlink"/>
          </w:rPr>
          <w:t xml:space="preserve">[57]</w:t>
        </w:r>
      </w:hyperlink>
      <w:r>
        <w:t xml:space="preserve">. They can appear before anemia manifests. Oval macrocytes on smear also support the diagnosis.</w:t>
      </w:r>
      <w:r>
        <w:t xml:space="preserve"> </w:t>
      </w:r>
      <w:r>
        <w:t xml:space="preserve">- Elevated RDW (often &gt;20%) due to anisocytosis is common. Platelets may be large and reduced in number.</w:t>
      </w:r>
      <w:r>
        <w:t xml:space="preserve"> </w:t>
      </w:r>
      <w:r>
        <w:t xml:space="preserve">- If the diagnosis is unclear, a bone marrow biopsy will show megaloblastic maturation: enlarged erythroid precursors with open nuclear chromatin and asynchronous cytoplasm maturation. This confirms a nutritional megaloblastic anemia but cannot distinguish B12 vs folate deficiency (B12 will often also show subacute combined degeneration in the cord if one looked, but that’s beyond marrow exam).</w:t>
      </w:r>
    </w:p>
    <w:p>
      <w:pPr>
        <w:pStyle w:val="BodyText"/>
      </w:pPr>
      <w:r>
        <w:rPr>
          <w:b/>
          <w:bCs/>
        </w:rPr>
        <w:t xml:space="preserve">Antibody Testing (APCA and Anti-IF):</w:t>
      </w:r>
      <w:r>
        <w:t xml:space="preserve"> </w:t>
      </w:r>
      <w:r>
        <w:t xml:space="preserve">When pernicious anemia is suspected as the cause of B12 deficiency, serologic testing for antibodies can be very useful – but these tests have significant false positive/negative considerations:</w:t>
      </w:r>
      <w:r>
        <w:t xml:space="preserve"> </w:t>
      </w:r>
      <w:r>
        <w:t xml:space="preserve">-</w:t>
      </w:r>
      <w:r>
        <w:t xml:space="preserve"> </w:t>
      </w:r>
      <w:r>
        <w:rPr>
          <w:b/>
          <w:bCs/>
        </w:rPr>
        <w:t xml:space="preserve">Anti-Parietal Cell Antibodies (APCA):</w:t>
      </w:r>
      <w:r>
        <w:t xml:space="preserve"> </w:t>
      </w:r>
      <w:r>
        <w:t xml:space="preserve">These are antibodies (usually IgG) against the gastric parietal cell proton pump (H&lt;sup&gt;+&lt;/sup&gt;/K&lt;sup&gt;+&lt;/sup&gt;-ATPase). They are present in ~80–90% of patients with pernicious anemia</w:t>
      </w:r>
      <w:hyperlink r:id="rId47">
        <w:r>
          <w:rPr>
            <w:rStyle w:val="Hyperlink"/>
          </w:rPr>
          <w:t xml:space="preserve">[28]</w:t>
        </w:r>
      </w:hyperlink>
      <w:r>
        <w:t xml:space="preserve">, making them very sensitive. However, they are</w:t>
      </w:r>
      <w:r>
        <w:t xml:space="preserve"> </w:t>
      </w:r>
      <w:r>
        <w:rPr>
          <w:b/>
          <w:bCs/>
        </w:rPr>
        <w:t xml:space="preserve">not specific</w:t>
      </w:r>
      <w:r>
        <w:t xml:space="preserve">: APCA are found in about 10% of the general elderly population and in a variety of other autoimmune disorders without pernicious anemia</w:t>
      </w:r>
      <w:hyperlink r:id="rId123">
        <w:r>
          <w:rPr>
            <w:rStyle w:val="Hyperlink"/>
          </w:rPr>
          <w:t xml:space="preserve">[101]</w:t>
        </w:r>
      </w:hyperlink>
      <w:r>
        <w:t xml:space="preserve">. For example, ~20% of patients with Hashimoto’s thyroiditis have APCA positivity (often low titer) despite normal B12</w:t>
      </w:r>
      <w:hyperlink r:id="rId107">
        <w:r>
          <w:rPr>
            <w:rStyle w:val="Hyperlink"/>
          </w:rPr>
          <w:t xml:space="preserve">[86]</w:t>
        </w:r>
      </w:hyperlink>
      <w:r>
        <w:t xml:space="preserve">. Chronic</w:t>
      </w:r>
      <w:r>
        <w:t xml:space="preserve"> </w:t>
      </w:r>
      <w:r>
        <w:rPr>
          <w:i/>
          <w:iCs/>
        </w:rPr>
        <w:t xml:space="preserve">H. pylori</w:t>
      </w:r>
      <w:r>
        <w:t xml:space="preserve"> </w:t>
      </w:r>
      <w:r>
        <w:t xml:space="preserve">infection can induce transient APCA in ~20–30% of cases due to molecular mimicry</w:t>
      </w:r>
      <w:hyperlink r:id="rId46">
        <w:r>
          <w:rPr>
            <w:rStyle w:val="Hyperlink"/>
          </w:rPr>
          <w:t xml:space="preserve">[26]</w:t>
        </w:r>
      </w:hyperlink>
      <w:r>
        <w:t xml:space="preserve">. One endoscopy study in Indonesia found 89% of</w:t>
      </w:r>
      <w:r>
        <w:t xml:space="preserve"> </w:t>
      </w:r>
      <w:r>
        <w:rPr>
          <w:i/>
          <w:iCs/>
        </w:rPr>
        <w:t xml:space="preserve">H. pylori</w:t>
      </w:r>
      <w:r>
        <w:t xml:space="preserve">-infected dyspepsia patients had APCA positivity</w:t>
      </w:r>
      <w:hyperlink r:id="rId107">
        <w:r>
          <w:rPr>
            <w:rStyle w:val="Hyperlink"/>
          </w:rPr>
          <w:t xml:space="preserve">[86]</w:t>
        </w:r>
      </w:hyperlink>
      <w:r>
        <w:t xml:space="preserve"> </w:t>
      </w:r>
      <w:r>
        <w:t xml:space="preserve">– presumably most did not have true pernicious anemia. Thus, APCA has high false-positive rates. It’s estimated that</w:t>
      </w:r>
      <w:r>
        <w:t xml:space="preserve"> </w:t>
      </w:r>
      <w:r>
        <w:rPr>
          <w:b/>
          <w:bCs/>
        </w:rPr>
        <w:t xml:space="preserve">15–30% of people with a positive APCA do not actually have autoimmune gastritis</w:t>
      </w:r>
      <w:r>
        <w:t xml:space="preserve"> </w:t>
      </w:r>
      <w:r>
        <w:t xml:space="preserve">or will never develop pernicious anemia</w:t>
      </w:r>
      <w:hyperlink r:id="rId123">
        <w:r>
          <w:rPr>
            <w:rStyle w:val="Hyperlink"/>
          </w:rPr>
          <w:t xml:space="preserve">[101]</w:t>
        </w:r>
      </w:hyperlink>
      <w:r>
        <w:t xml:space="preserve">. As a result, a positive APCA must be interpreted in context: if B12 is low or IF antibodies are also positive, it supports pernicious anemia; but an isolated APCA+ in a euthyroid, B12-replete patient might just indicate susceptibility or another autoimmune condition. APCA testing is still useful as a screening test for pernicious anemia, given its high sensitivity and ease of measurement.</w:t>
      </w:r>
      <w:r>
        <w:t xml:space="preserve"> </w:t>
      </w:r>
      <w:r>
        <w:t xml:space="preserve">-</w:t>
      </w:r>
      <w:r>
        <w:t xml:space="preserve"> </w:t>
      </w:r>
      <w:r>
        <w:rPr>
          <w:b/>
          <w:bCs/>
        </w:rPr>
        <w:t xml:space="preserve">Anti-Intrinsic Factor Antibodies (Anti-IF):</w:t>
      </w:r>
      <w:r>
        <w:t xml:space="preserve"> </w:t>
      </w:r>
      <w:r>
        <w:t xml:space="preserve">These are much more specific (~95%) for pernicious anemia, as intrinsic factor antibodies are rarely present without autoimmune gastritis. There are two types: blocking antibodies (Type I) that prevent B12 binding to IF, and binding antibodies (Type II) that prevent IF-B12 complex from attaching to ileal receptors. The presence of anti-IF is essentially diagnostic of pernicious anemia in the setting of B12 deficiency</w:t>
      </w:r>
      <w:hyperlink r:id="rId47">
        <w:r>
          <w:rPr>
            <w:rStyle w:val="Hyperlink"/>
          </w:rPr>
          <w:t xml:space="preserve">[88]</w:t>
        </w:r>
      </w:hyperlink>
      <w:r>
        <w:t xml:space="preserve">. However, anti-IF antibodies have lower sensitivity: only about 50–60% of pernicious anemia patients test positive for them</w:t>
      </w:r>
      <w:hyperlink r:id="rId47">
        <w:r>
          <w:rPr>
            <w:rStyle w:val="Hyperlink"/>
          </w:rPr>
          <w:t xml:space="preserve">[88]</w:t>
        </w:r>
      </w:hyperlink>
      <w:r>
        <w:t xml:space="preserve">. Thus, a negative anti-IF test</w:t>
      </w:r>
      <w:r>
        <w:t xml:space="preserve"> </w:t>
      </w:r>
      <w:r>
        <w:rPr>
          <w:i/>
          <w:iCs/>
        </w:rPr>
        <w:t xml:space="preserve">does not</w:t>
      </w:r>
      <w:r>
        <w:t xml:space="preserve"> </w:t>
      </w:r>
      <w:r>
        <w:t xml:space="preserve">rule out pernicious anemia (a false-negative scenario). It’s quite common to have a patient with confirmed pernicious anemia (by clinical picture or gastric biopsy) who is anti-IF negative but APCA positive. Anti-IF testing can also give false negatives if the patient recently received B12 injections or high-dose supplements – the circulating B12-IF complexes can interfere with the assay (some labs recommend drawing the sample before starting B12 treatment)</w:t>
      </w:r>
      <w:hyperlink r:id="rId124">
        <w:r>
          <w:rPr>
            <w:rStyle w:val="Hyperlink"/>
          </w:rPr>
          <w:t xml:space="preserve">[102]</w:t>
        </w:r>
      </w:hyperlink>
      <w:r>
        <w:t xml:space="preserve">. On rare occasion, false positives can occur in other autoimmune diseases, but this is uncommon. In practice,</w:t>
      </w:r>
      <w:r>
        <w:t xml:space="preserve"> </w:t>
      </w:r>
      <w:r>
        <w:rPr>
          <w:b/>
          <w:bCs/>
        </w:rPr>
        <w:t xml:space="preserve">anti-IF is considered confirmatory</w:t>
      </w:r>
      <w:r>
        <w:t xml:space="preserve"> </w:t>
      </w:r>
      <w:r>
        <w:t xml:space="preserve">when positive, but if negative and pernicious anemia is still strongly suspected, one should rely on APCA or direct gastric evaluation.</w:t>
      </w:r>
    </w:p>
    <w:p>
      <w:pPr>
        <w:pStyle w:val="BodyText"/>
      </w:pPr>
      <w:r>
        <w:t xml:space="preserve">In summary, for suspected pernicious anemia: if either APCA or anti-IF is positive in a B12-deficient patient, the diagnosis is essentially confirmed. If both are negative but clinical suspicion is high, one might proceed to a Schilling test historically (not used now) or more practically, endoscopic biopsy of the stomach to look for chronic atrophic gastritis consistent with AIG (autoimmune metaplastic atrophic gastritis). NICE 2024 guidelines prefer the term “autoimmune gastritis” and emphasize that a new diagnosis of autoimmune gastritis (pernicious anemia) should trigger</w:t>
      </w:r>
      <w:r>
        <w:t xml:space="preserve"> </w:t>
      </w:r>
      <w:r>
        <w:rPr>
          <w:b/>
          <w:bCs/>
        </w:rPr>
        <w:t xml:space="preserve">gastroscopic evaluation</w:t>
      </w:r>
      <w:r>
        <w:t xml:space="preserve"> </w:t>
      </w:r>
      <w:r>
        <w:t xml:space="preserve">(see next section on gastric cancer surveillance)</w:t>
      </w:r>
      <w:hyperlink r:id="rId125">
        <w:r>
          <w:rPr>
            <w:rStyle w:val="Hyperlink"/>
          </w:rPr>
          <w:t xml:space="preserve">[103]</w:t>
        </w:r>
      </w:hyperlink>
      <w:hyperlink r:id="rId126">
        <w:r>
          <w:rPr>
            <w:rStyle w:val="Hyperlink"/>
          </w:rPr>
          <w:t xml:space="preserve">[104]</w:t>
        </w:r>
      </w:hyperlink>
      <w:r>
        <w:t xml:space="preserve">.</w:t>
      </w:r>
    </w:p>
    <w:p>
      <w:pPr>
        <w:pStyle w:val="BodyText"/>
      </w:pPr>
      <w:r>
        <w:rPr>
          <w:b/>
          <w:bCs/>
        </w:rPr>
        <w:t xml:space="preserve">Diagnostic Pitfalls:</w:t>
      </w:r>
      <w:r>
        <w:br/>
      </w:r>
      <w:r>
        <w:t xml:space="preserve">It is crucial to recognize scenarios where B12 status can be misinterpreted:</w:t>
      </w:r>
      <w:r>
        <w:t xml:space="preserve"> </w:t>
      </w:r>
      <w:r>
        <w:t xml:space="preserve">-</w:t>
      </w:r>
      <w:r>
        <w:t xml:space="preserve"> </w:t>
      </w:r>
      <w:r>
        <w:rPr>
          <w:b/>
          <w:bCs/>
        </w:rPr>
        <w:t xml:space="preserve">False-Normal or High B12 Levels:</w:t>
      </w:r>
      <w:r>
        <w:t xml:space="preserve"> </w:t>
      </w:r>
      <w:r>
        <w:t xml:space="preserve">Certain conditions can raise total B12 levels without indicating adequacy. For instance, myeloproliferative neoplasms (CML, PV, etc.) and some solid cancers (e.g., liver metastasis) can cause elevated B12 due to excess B12-binding proteins (haptocorrin) released by neutrophils or diseased liver</w:t>
      </w:r>
      <w:hyperlink r:id="rId124">
        <w:r>
          <w:rPr>
            <w:rStyle w:val="Hyperlink"/>
          </w:rPr>
          <w:t xml:space="preserve">[102]</w:t>
        </w:r>
      </w:hyperlink>
      <w:hyperlink r:id="rId68">
        <w:r>
          <w:rPr>
            <w:rStyle w:val="Hyperlink"/>
          </w:rPr>
          <w:t xml:space="preserve">[50]</w:t>
        </w:r>
      </w:hyperlink>
      <w:r>
        <w:t xml:space="preserve">. Severe liver disease can also elevate B12 as damaged hepatocytes leak stored cobalamin</w:t>
      </w:r>
      <w:hyperlink r:id="rId68">
        <w:r>
          <w:rPr>
            <w:rStyle w:val="Hyperlink"/>
          </w:rPr>
          <w:t xml:space="preserve">[50]</w:t>
        </w:r>
      </w:hyperlink>
      <w:r>
        <w:t xml:space="preserve">. Thus, a patient with, say, leukemia might have high serum B12 but still be functionally deficient in tissues (or at least, the high B12 cannot be taken as a sign of repletion).</w:t>
      </w:r>
      <w:r>
        <w:t xml:space="preserve"> </w:t>
      </w:r>
      <w:r>
        <w:rPr>
          <w:b/>
          <w:bCs/>
        </w:rPr>
        <w:t xml:space="preserve">Transcobalamin deficiency</w:t>
      </w:r>
      <w:r>
        <w:t xml:space="preserve"> </w:t>
      </w:r>
      <w:r>
        <w:t xml:space="preserve">is another rare scenario: total B12 may be normal or high (bound to haptocorrin) but holoTC is low and the patient is deficient. If clinical suspicion is high (neurologic symptoms) but B12 is normal, checking holoTC or MMA is warranted to uncover such functional deficiencies</w:t>
      </w:r>
      <w:hyperlink r:id="rId99">
        <w:r>
          <w:rPr>
            <w:rStyle w:val="Hyperlink"/>
          </w:rPr>
          <w:t xml:space="preserve">[80]</w:t>
        </w:r>
      </w:hyperlink>
      <w:hyperlink r:id="rId73">
        <w:r>
          <w:rPr>
            <w:rStyle w:val="Hyperlink"/>
          </w:rPr>
          <w:t xml:space="preserve">[54]</w:t>
        </w:r>
      </w:hyperlink>
      <w:r>
        <w:t xml:space="preserve">. One should also not dismiss an</w:t>
      </w:r>
      <w:r>
        <w:t xml:space="preserve"> </w:t>
      </w:r>
      <w:r>
        <w:rPr>
          <w:b/>
          <w:bCs/>
        </w:rPr>
        <w:t xml:space="preserve">elevated B12</w:t>
      </w:r>
      <w:r>
        <w:t xml:space="preserve"> </w:t>
      </w:r>
      <w:r>
        <w:t xml:space="preserve">value as always “excess” – paradoxically, very high B12 levels (&gt;1000 pg/mL) have been associated with serious illness (liver disease, cancer) and warrant evaluation of the underlying cause</w:t>
      </w:r>
      <w:hyperlink r:id="rId68">
        <w:r>
          <w:rPr>
            <w:rStyle w:val="Hyperlink"/>
          </w:rPr>
          <w:t xml:space="preserve">[50]</w:t>
        </w:r>
      </w:hyperlink>
      <w:r>
        <w:t xml:space="preserve">.</w:t>
      </w:r>
      <w:r>
        <w:t xml:space="preserve"> </w:t>
      </w:r>
      <w:r>
        <w:t xml:space="preserve">-</w:t>
      </w:r>
      <w:r>
        <w:t xml:space="preserve"> </w:t>
      </w:r>
      <w:r>
        <w:rPr>
          <w:b/>
          <w:bCs/>
        </w:rPr>
        <w:t xml:space="preserve">False-Low B12 Levels:</w:t>
      </w:r>
      <w:r>
        <w:t xml:space="preserve"> </w:t>
      </w:r>
      <w:r>
        <w:t xml:space="preserve">On the other hand, mild pseudodeficiency can occur. For example, high folate intake can “mask” the hematologic effects of B12 deficiency, but it can also sometimes lower B12 readings by promoting cellular uptake. Pregnancy often lowers serum B12 due to plasma volume expansion and depletion by the fetus – many pregnant women have low B12 lab values but are not truly deficient (holoTC and MMA remain normal). Use of oral contraceptives has been noted to lower total B12 levels (by increasing haptocorrin) without causing deficiency</w:t>
      </w:r>
      <w:hyperlink r:id="rId124">
        <w:r>
          <w:rPr>
            <w:rStyle w:val="Hyperlink"/>
          </w:rPr>
          <w:t xml:space="preserve">[102]</w:t>
        </w:r>
      </w:hyperlink>
      <w:r>
        <w:t xml:space="preserve">. These scenarios emphasize the importance of considering clinical context and possibly checking metabolic markers before diagnosing true deficiency.</w:t>
      </w:r>
      <w:r>
        <w:t xml:space="preserve"> </w:t>
      </w:r>
      <w:r>
        <w:t xml:space="preserve">-</w:t>
      </w:r>
      <w:r>
        <w:t xml:space="preserve"> </w:t>
      </w:r>
      <w:r>
        <w:rPr>
          <w:b/>
          <w:bCs/>
        </w:rPr>
        <w:t xml:space="preserve">Combined Nutritional Anemias:</w:t>
      </w:r>
      <w:r>
        <w:t xml:space="preserve"> </w:t>
      </w:r>
      <w:r>
        <w:t xml:space="preserve">If a patient has both iron and B12 deficiency, the classical macrocytosis may not be present (MCV could be normal from offsetting microcytosis). This combined deficiency is not uncommon in malnourished or malabsorptive states (e.g. celiac disease affecting the proximal and distal gut). Always check both iron studies and folate when B12 is low, and vice versa, because replacing one can worsen the other’s manifestations (treating folate in a B12-deficient patient can precipitate neurologic symptoms by allowing rapid DNA synthesis without fixing myelin, and treating B12 in a severely iron-deficient patient will improve anemia only partially until iron is repleted)</w:t>
      </w:r>
      <w:hyperlink r:id="rId127">
        <w:r>
          <w:rPr>
            <w:rStyle w:val="Hyperlink"/>
          </w:rPr>
          <w:t xml:space="preserve">[105]</w:t>
        </w:r>
      </w:hyperlink>
      <w:hyperlink r:id="rId128">
        <w:r>
          <w:rPr>
            <w:rStyle w:val="Hyperlink"/>
          </w:rPr>
          <w:t xml:space="preserve">[106]</w:t>
        </w:r>
      </w:hyperlink>
      <w:r>
        <w:t xml:space="preserve">.</w:t>
      </w:r>
      <w:r>
        <w:t xml:space="preserve"> </w:t>
      </w:r>
      <w:r>
        <w:t xml:space="preserve">-</w:t>
      </w:r>
      <w:r>
        <w:t xml:space="preserve"> </w:t>
      </w:r>
      <w:r>
        <w:rPr>
          <w:b/>
          <w:bCs/>
        </w:rPr>
        <w:t xml:space="preserve">No “Gold Standard” Test:</w:t>
      </w:r>
      <w:r>
        <w:t xml:space="preserve"> </w:t>
      </w:r>
      <w:r>
        <w:t xml:space="preserve">Ultimately, the diagnosis is a composite of labs and clinical findings. No single test clinches every case. It has been said that</w:t>
      </w:r>
      <w:r>
        <w:t xml:space="preserve"> </w:t>
      </w:r>
      <w:r>
        <w:rPr>
          <w:b/>
          <w:bCs/>
        </w:rPr>
        <w:t xml:space="preserve">clinical judgment should guide interpretation</w:t>
      </w:r>
      <w:r>
        <w:t xml:space="preserve"> </w:t>
      </w:r>
      <w:r>
        <w:t xml:space="preserve">– for example, if a patient has classic B12 neuropathy signs, borderline B12 level, and high homocysteine, it is prudent to treat for B12 deficiency even if MMA is only mildly elevated or unavailable</w:t>
      </w:r>
      <w:hyperlink r:id="rId100">
        <w:r>
          <w:rPr>
            <w:rStyle w:val="Hyperlink"/>
          </w:rPr>
          <w:t xml:space="preserve">[81]</w:t>
        </w:r>
      </w:hyperlink>
      <w:hyperlink r:id="rId109">
        <w:r>
          <w:rPr>
            <w:rStyle w:val="Hyperlink"/>
          </w:rPr>
          <w:t xml:space="preserve">[89]</w:t>
        </w:r>
      </w:hyperlink>
      <w:r>
        <w:t xml:space="preserve">. Both undertreatment (missing a deficiency) and overtreatment (unnecessary B12 shots) have costs and implications, but given B12 therapy is safe and relatively inexpensive, many experts err on treating in equivocal cases, especially if follow-up can confirm response.</w:t>
      </w:r>
    </w:p>
    <w:p>
      <w:pPr>
        <w:pStyle w:val="BodyText"/>
      </w:pPr>
      <w:r>
        <w:rPr>
          <w:b/>
          <w:bCs/>
        </w:rPr>
        <w:t xml:space="preserve">Algorithm (Summary):</w:t>
      </w:r>
      <w:r>
        <w:t xml:space="preserve"> </w:t>
      </w:r>
      <w:r>
        <w:t xml:space="preserve">In practice, an approach might be:</w:t>
      </w:r>
      <w:r>
        <w:t xml:space="preserve"> </w:t>
      </w:r>
      <w:r>
        <w:t xml:space="preserve">1.</w:t>
      </w:r>
      <w:r>
        <w:t xml:space="preserve"> </w:t>
      </w:r>
      <w:r>
        <w:rPr>
          <w:b/>
          <w:bCs/>
        </w:rPr>
        <w:t xml:space="preserve">Clinical suspicion:</w:t>
      </w:r>
      <w:r>
        <w:t xml:space="preserve"> </w:t>
      </w:r>
      <w:r>
        <w:t xml:space="preserve">If symptoms or risk factors present, order initial labs.</w:t>
      </w:r>
      <w:r>
        <w:t xml:space="preserve"> </w:t>
      </w:r>
      <w:r>
        <w:t xml:space="preserve">2.</w:t>
      </w:r>
      <w:r>
        <w:t xml:space="preserve"> </w:t>
      </w:r>
      <w:r>
        <w:rPr>
          <w:b/>
          <w:bCs/>
        </w:rPr>
        <w:t xml:space="preserve">Initial labs:</w:t>
      </w:r>
      <w:r>
        <w:t xml:space="preserve"> </w:t>
      </w:r>
      <w:r>
        <w:t xml:space="preserve">CBC, serum B12, and serum folate. If anemia present, also check iron studies. If neurologic symptoms are prominent, also consider ordering MMA/homocysteine upfront.</w:t>
      </w:r>
      <w:r>
        <w:t xml:space="preserve"> </w:t>
      </w:r>
      <w:r>
        <w:t xml:space="preserve">3.</w:t>
      </w:r>
      <w:r>
        <w:t xml:space="preserve"> </w:t>
      </w:r>
      <w:r>
        <w:rPr>
          <w:b/>
          <w:bCs/>
        </w:rPr>
        <w:t xml:space="preserve">If B12 is low (&lt;148 pmol/L):</w:t>
      </w:r>
      <w:r>
        <w:t xml:space="preserve"> </w:t>
      </w:r>
      <w:r>
        <w:t xml:space="preserve">Diagnose B12 deficiency. Optionally confirm with MMA if available, but not strictly necessary. Investigate cause (diet history, medications, antiparietal/IF antibodies, etc). Begin treatment.</w:t>
      </w:r>
      <w:r>
        <w:t xml:space="preserve"> </w:t>
      </w:r>
      <w:r>
        <w:t xml:space="preserve">4.</w:t>
      </w:r>
      <w:r>
        <w:t xml:space="preserve"> </w:t>
      </w:r>
      <w:r>
        <w:rPr>
          <w:b/>
          <w:bCs/>
        </w:rPr>
        <w:t xml:space="preserve">If B12 is borderline (148–221 pmol/L) or low-normal with high suspicion:</w:t>
      </w:r>
      <w:r>
        <w:t xml:space="preserve"> </w:t>
      </w:r>
      <w:r>
        <w:t xml:space="preserve">Obtain MMA and homocysteine. If either is elevated above reference range, this confirms functional B12 deficiency</w:t>
      </w:r>
      <w:hyperlink r:id="rId100">
        <w:r>
          <w:rPr>
            <w:rStyle w:val="Hyperlink"/>
          </w:rPr>
          <w:t xml:space="preserve">[81]</w:t>
        </w:r>
      </w:hyperlink>
      <w:r>
        <w:t xml:space="preserve">. Alternatively, check holotranscobalamin – a low holoTC (&lt;35 pmol/L) would also support deficiency</w:t>
      </w:r>
      <w:hyperlink r:id="rId121">
        <w:r>
          <w:rPr>
            <w:rStyle w:val="Hyperlink"/>
          </w:rPr>
          <w:t xml:space="preserve">[99]</w:t>
        </w:r>
      </w:hyperlink>
      <w:r>
        <w:t xml:space="preserve">. If these tests are not accessible, a therapeutic trial of B12 or empiric treatment is reasonable with close monitoring.</w:t>
      </w:r>
      <w:r>
        <w:t xml:space="preserve"> </w:t>
      </w:r>
      <w:r>
        <w:t xml:space="preserve">5.</w:t>
      </w:r>
      <w:r>
        <w:t xml:space="preserve"> </w:t>
      </w:r>
      <w:r>
        <w:rPr>
          <w:b/>
          <w:bCs/>
        </w:rPr>
        <w:t xml:space="preserve">If B12 is normal (&gt;300) but suspicion remains high (unexplained neurologic signs, etc):</w:t>
      </w:r>
      <w:r>
        <w:t xml:space="preserve"> </w:t>
      </w:r>
      <w:r>
        <w:t xml:space="preserve">Consider checking MMA/homocysteine to rule out rare functional deficiency. Also consider other diagnoses of course. If MMA is normal, almost certainly not B12 deficiency. If MMA is high in spite of normal B12, could be early deficiency or an error (repeat test, check renal function).</w:t>
      </w:r>
      <w:r>
        <w:t xml:space="preserve"> </w:t>
      </w:r>
      <w:r>
        <w:t xml:space="preserve">6.</w:t>
      </w:r>
      <w:r>
        <w:t xml:space="preserve"> </w:t>
      </w:r>
      <w:r>
        <w:rPr>
          <w:b/>
          <w:bCs/>
        </w:rPr>
        <w:t xml:space="preserve">Determine cause:</w:t>
      </w:r>
      <w:r>
        <w:t xml:space="preserve"> </w:t>
      </w:r>
      <w:r>
        <w:t xml:space="preserve">Once deficiency is confirmed, differentiate pernicious anemia (check antibodies, gastritis) vs malabsorptive vs dietary. This will guide duration of therapy (pernicious requires lifelong treatment).</w:t>
      </w:r>
      <w:r>
        <w:t xml:space="preserve"> </w:t>
      </w:r>
      <w:r>
        <w:t xml:space="preserve">7.</w:t>
      </w:r>
      <w:r>
        <w:t xml:space="preserve"> </w:t>
      </w:r>
      <w:r>
        <w:rPr>
          <w:b/>
          <w:bCs/>
        </w:rPr>
        <w:t xml:space="preserve">Follow-up:</w:t>
      </w:r>
      <w:r>
        <w:t xml:space="preserve"> </w:t>
      </w:r>
      <w:r>
        <w:t xml:space="preserve">After starting treatment, monitor clinical response and appropriate lab markers (discussed below in Management).</w:t>
      </w:r>
    </w:p>
    <w:bookmarkEnd w:id="129"/>
    <w:bookmarkStart w:id="202" w:name="management-and-treatment-strategies"/>
    <w:p>
      <w:pPr>
        <w:pStyle w:val="Heading2"/>
      </w:pPr>
      <w:r>
        <w:t xml:space="preserve">Management and Treatment Strategies</w:t>
      </w:r>
    </w:p>
    <w:p>
      <w:pPr>
        <w:pStyle w:val="FirstParagraph"/>
      </w:pPr>
      <w:r>
        <w:t xml:space="preserve">The goals of treating B12 deficiency are to: 1) correct the cobalamin deficiency and replenish body stores, 2) reverse or halt progression of clinical manifestations (anemia, neurologic symptoms, etc.), and 3) address the underlying cause to prevent recurrence. Management can be divided into</w:t>
      </w:r>
      <w:r>
        <w:t xml:space="preserve"> </w:t>
      </w:r>
      <w:r>
        <w:rPr>
          <w:b/>
          <w:bCs/>
        </w:rPr>
        <w:t xml:space="preserve">repletion therapy</w:t>
      </w:r>
      <w:r>
        <w:t xml:space="preserve"> </w:t>
      </w:r>
      <w:r>
        <w:t xml:space="preserve">(high-dose cobalamin to resolve deficiency) and</w:t>
      </w:r>
      <w:r>
        <w:t xml:space="preserve"> </w:t>
      </w:r>
      <w:r>
        <w:rPr>
          <w:b/>
          <w:bCs/>
        </w:rPr>
        <w:t xml:space="preserve">maintenance therapy</w:t>
      </w:r>
      <w:r>
        <w:t xml:space="preserve"> </w:t>
      </w:r>
      <w:r>
        <w:t xml:space="preserve">(long-term prevention of relapse, especially in irreversible causes like pernicious anemia). This section reviews the various routes of B12 administration (intramuscular, oral, sublingual, etc.), dosing regimens, the comparative efficacy of cyanocobalamin vs other forms, and region-specific treatment guidelines. We also cover monitoring of treatment response and special considerations like gastric cancer surveillance in pernicious anemia.</w:t>
      </w:r>
    </w:p>
    <w:bookmarkStart w:id="145" w:name="routes-of-cobalamin-administration"/>
    <w:p>
      <w:pPr>
        <w:pStyle w:val="Heading3"/>
      </w:pPr>
      <w:r>
        <w:t xml:space="preserve">Routes of Cobalamin Administration</w:t>
      </w:r>
    </w:p>
    <w:p>
      <w:pPr>
        <w:pStyle w:val="FirstParagraph"/>
      </w:pPr>
      <w:r>
        <w:t xml:space="preserve">Vitamin B12 can be effectively administered by intramuscular (IM) injection or by high-dose oral supplementation, and studies show both routes are generally equivalent in achieving hematologic and neurologic outcomes</w:t>
      </w:r>
      <w:hyperlink r:id="rId130">
        <w:r>
          <w:rPr>
            <w:rStyle w:val="Hyperlink"/>
          </w:rPr>
          <w:t xml:space="preserve">[107]</w:t>
        </w:r>
      </w:hyperlink>
      <w:hyperlink r:id="rId131">
        <w:r>
          <w:rPr>
            <w:rStyle w:val="Hyperlink"/>
          </w:rPr>
          <w:t xml:space="preserve">[108]</w:t>
        </w:r>
      </w:hyperlink>
      <w:r>
        <w:t xml:space="preserve">. Newer routes include sublingual (SL) and intranasal delivery, which are also efficacious in many cases. The choice of route often depends on the cause of deficiency, severity of symptoms, patient preferences, and healthcare system practices. Table 2 provides a summary comparison:</w:t>
      </w:r>
    </w:p>
    <w:p>
      <w:pPr>
        <w:pStyle w:val="BodyText"/>
      </w:pPr>
      <w:r>
        <w:rPr>
          <w:b/>
          <w:bCs/>
        </w:rPr>
        <w:t xml:space="preserve">Table 2: Comparison of B12 Administration Routes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Route</w:t>
            </w:r>
          </w:p>
        </w:tc>
        <w:tc>
          <w:tcPr/>
          <w:p>
            <w:pPr>
              <w:pStyle w:val="Compact"/>
            </w:pPr>
            <w:r>
              <w:t xml:space="preserve">Typical Forms</w:t>
            </w:r>
          </w:p>
        </w:tc>
        <w:tc>
          <w:tcPr/>
          <w:p>
            <w:pPr>
              <w:pStyle w:val="Compact"/>
            </w:pPr>
            <w:r>
              <w:t xml:space="preserve">Use Case</w:t>
            </w:r>
          </w:p>
        </w:tc>
        <w:tc>
          <w:tcPr/>
          <w:p>
            <w:pPr>
              <w:pStyle w:val="Compact"/>
            </w:pPr>
            <w:r>
              <w:t xml:space="preserve">Pros</w:t>
            </w:r>
          </w:p>
        </w:tc>
        <w:tc>
          <w:tcPr/>
          <w:p>
            <w:pPr>
              <w:pStyle w:val="Compact"/>
            </w:pPr>
            <w:r>
              <w:t xml:space="preserve">Cons</w:t>
            </w:r>
          </w:p>
        </w:tc>
      </w:tr>
      <w:tr>
        <w:tc>
          <w:tcPr/>
          <w:p>
            <w:pPr>
              <w:pStyle w:val="Compact"/>
            </w:pPr>
            <w:r>
              <w:rPr>
                <w:b/>
                <w:bCs/>
              </w:rPr>
              <w:t xml:space="preserve">Intramuscular (IM)</w:t>
            </w:r>
            <w:r>
              <w:t xml:space="preserve"> </w:t>
            </w:r>
            <w:r>
              <w:t xml:space="preserve">(or Subcutaneous)</w:t>
            </w:r>
          </w:p>
        </w:tc>
        <w:tc>
          <w:tcPr/>
          <w:p>
            <w:pPr>
              <w:pStyle w:val="Compact"/>
            </w:pPr>
            <w:r>
              <w:t xml:space="preserve">Hydroxocobalamin (common in UK), Cyanocobalamin (common in US), Methylcobalamin (in some countries)</w:t>
            </w:r>
          </w:p>
        </w:tc>
        <w:tc>
          <w:tcPr/>
          <w:p>
            <w:pPr>
              <w:pStyle w:val="Compact"/>
            </w:pPr>
            <w:r>
              <w:t xml:space="preserve">Preferred for severe deficiency, pernicious anemia, or if malabsorption is total (e.g. after gastrectomy). Often used initially for neurologic cases.</w:t>
            </w:r>
            <w:hyperlink r:id="rId132">
              <w:r>
                <w:rPr>
                  <w:rStyle w:val="Hyperlink"/>
                </w:rPr>
                <w:t xml:space="preserve">[109]</w:t>
              </w:r>
            </w:hyperlink>
            <w:hyperlink r:id="rId133">
              <w:r>
                <w:rPr>
                  <w:rStyle w:val="Hyperlink"/>
                </w:rPr>
                <w:t xml:space="preserve">[110]</w:t>
              </w:r>
            </w:hyperlink>
          </w:p>
        </w:tc>
        <w:tc>
          <w:tcPr/>
          <w:p>
            <w:pPr>
              <w:pStyle w:val="Compact"/>
            </w:pPr>
            <w:r>
              <w:t xml:space="preserve">Ensures absorption (bypasses GI); rapid replenishment; hydroxocobalamin IM has long retention (stays in body ~ longer)</w:t>
            </w:r>
            <w:hyperlink r:id="rId31">
              <w:r>
                <w:rPr>
                  <w:rStyle w:val="Hyperlink"/>
                </w:rPr>
                <w:t xml:space="preserve">[11]</w:t>
              </w:r>
            </w:hyperlink>
            <w:r>
              <w:t xml:space="preserve">. Good for non-compliant patients (less frequent dosing).</w:t>
            </w:r>
          </w:p>
        </w:tc>
        <w:tc>
          <w:tcPr/>
          <w:p>
            <w:pPr>
              <w:pStyle w:val="Compact"/>
            </w:pPr>
            <w:r>
              <w:t xml:space="preserve">Injections can be painful/inconvenient; require clinic visits (though self-injection is an option</w:t>
            </w:r>
            <w:hyperlink r:id="rId134">
              <w:r>
                <w:rPr>
                  <w:rStyle w:val="Hyperlink"/>
                </w:rPr>
                <w:t xml:space="preserve">[111]</w:t>
              </w:r>
            </w:hyperlink>
            <w:r>
              <w:t xml:space="preserve">); small risk of injection site reactions. Cyanocobalamin IM requires more frequent dosing (weekly to monthly) than hydroxo.</w:t>
            </w:r>
          </w:p>
        </w:tc>
      </w:tr>
      <w:tr>
        <w:tc>
          <w:tcPr/>
          <w:p>
            <w:pPr>
              <w:pStyle w:val="Compact"/>
            </w:pPr>
            <w:r>
              <w:rPr>
                <w:b/>
                <w:bCs/>
              </w:rPr>
              <w:t xml:space="preserve">High-dose Oral</w:t>
            </w:r>
          </w:p>
        </w:tc>
        <w:tc>
          <w:tcPr/>
          <w:p>
            <w:pPr>
              <w:pStyle w:val="Compact"/>
            </w:pPr>
            <w:r>
              <w:t xml:space="preserve">Cyanocobalamin (typical), Methylcobalamin (in some supplements)</w:t>
            </w:r>
          </w:p>
        </w:tc>
        <w:tc>
          <w:tcPr/>
          <w:p>
            <w:pPr>
              <w:pStyle w:val="Compact"/>
            </w:pPr>
            <w:r>
              <w:t xml:space="preserve">First-line for dietary deficiency and mild to moderate cases even if malabsorptive (if some absorption intact). Many guidelines now endorse oral therapy for most patients without severe neurological symptoms</w:t>
            </w:r>
            <w:hyperlink r:id="rId130">
              <w:r>
                <w:rPr>
                  <w:rStyle w:val="Hyperlink"/>
                </w:rPr>
                <w:t xml:space="preserve">[107]</w:t>
              </w:r>
            </w:hyperlink>
            <w:hyperlink r:id="rId135">
              <w:r>
                <w:rPr>
                  <w:rStyle w:val="Hyperlink"/>
                </w:rPr>
                <w:t xml:space="preserve">[112]</w:t>
              </w:r>
            </w:hyperlink>
            <w:r>
              <w:t xml:space="preserve">.</w:t>
            </w:r>
          </w:p>
        </w:tc>
        <w:tc>
          <w:tcPr/>
          <w:p>
            <w:pPr>
              <w:pStyle w:val="Compact"/>
            </w:pPr>
            <w:r>
              <w:t xml:space="preserve">No needles (patient preference); easy and cheap (pills OTC in many places); proven effective if dose is high enough (1–2 mg/day can achieve repletion via passive absorption)</w:t>
            </w:r>
            <w:hyperlink r:id="rId135">
              <w:r>
                <w:rPr>
                  <w:rStyle w:val="Hyperlink"/>
                </w:rPr>
                <w:t xml:space="preserve">[112]</w:t>
              </w:r>
            </w:hyperlink>
            <w:r>
              <w:t xml:space="preserve">. Can be self-administered daily.</w:t>
            </w:r>
          </w:p>
        </w:tc>
        <w:tc>
          <w:tcPr/>
          <w:p>
            <w:pPr>
              <w:pStyle w:val="Compact"/>
            </w:pPr>
            <w:r>
              <w:t xml:space="preserve">Requires patient compliance with daily pills. In pernicious anemia or major malabsorption, reliance on passive absorption (1% of dose) means dose must be high and taken consistently</w:t>
            </w:r>
            <w:hyperlink r:id="rId136">
              <w:r>
                <w:rPr>
                  <w:rStyle w:val="Hyperlink"/>
                </w:rPr>
                <w:t xml:space="preserve">[113]</w:t>
              </w:r>
            </w:hyperlink>
            <w:r>
              <w:t xml:space="preserve">. GI issues (diarrhea, etc.) might affect absorption of pills.</w:t>
            </w:r>
          </w:p>
        </w:tc>
      </w:tr>
      <w:tr>
        <w:tc>
          <w:tcPr/>
          <w:p>
            <w:pPr>
              <w:pStyle w:val="Compact"/>
            </w:pPr>
            <w:r>
              <w:rPr>
                <w:b/>
                <w:bCs/>
              </w:rPr>
              <w:t xml:space="preserve">Sublingual</w:t>
            </w:r>
            <w:r>
              <w:t xml:space="preserve"> </w:t>
            </w:r>
            <w:r>
              <w:t xml:space="preserve">(oral mucosal)</w:t>
            </w:r>
          </w:p>
        </w:tc>
        <w:tc>
          <w:tcPr/>
          <w:p>
            <w:pPr>
              <w:pStyle w:val="Compact"/>
            </w:pPr>
            <w:r>
              <w:t xml:space="preserve">Cyanocobalamin lozenges, Methylcobalamin lozenges/sprays</w:t>
            </w:r>
          </w:p>
        </w:tc>
        <w:tc>
          <w:tcPr/>
          <w:p>
            <w:pPr>
              <w:pStyle w:val="Compact"/>
            </w:pPr>
            <w:r>
              <w:t xml:space="preserve">Alternative to oral swallowing – often marketed for better absorption, though evidence shows it’s similar to oral swallowing</w:t>
            </w:r>
            <w:hyperlink r:id="rId137">
              <w:r>
                <w:rPr>
                  <w:rStyle w:val="Hyperlink"/>
                </w:rPr>
                <w:t xml:space="preserve">[114]</w:t>
              </w:r>
            </w:hyperlink>
            <w:r>
              <w:t xml:space="preserve">. Useful if swallowing pills is difficult.</w:t>
            </w:r>
          </w:p>
        </w:tc>
        <w:tc>
          <w:tcPr/>
          <w:p>
            <w:pPr>
              <w:pStyle w:val="Compact"/>
            </w:pPr>
            <w:r>
              <w:t xml:space="preserve">Bypasses need for GI absorption and IF somewhat (absorption through oral mucosa). Convenient for some (dissolvable). Some patients prefer taste/form.</w:t>
            </w:r>
          </w:p>
        </w:tc>
        <w:tc>
          <w:tcPr/>
          <w:p>
            <w:pPr>
              <w:pStyle w:val="Compact"/>
            </w:pPr>
            <w:r>
              <w:t xml:space="preserve">Must hold under tongue; absorption still largely via passive diffusion, not clearly superior to oral swallowing in trials</w:t>
            </w:r>
            <w:hyperlink r:id="rId137">
              <w:r>
                <w:rPr>
                  <w:rStyle w:val="Hyperlink"/>
                </w:rPr>
                <w:t xml:space="preserve">[114]</w:t>
              </w:r>
            </w:hyperlink>
            <w:r>
              <w:t xml:space="preserve">. Quality varies by supplement brand. Requires daily use.</w:t>
            </w:r>
          </w:p>
        </w:tc>
      </w:tr>
      <w:tr>
        <w:tc>
          <w:tcPr/>
          <w:p>
            <w:pPr>
              <w:pStyle w:val="Compact"/>
            </w:pPr>
            <w:r>
              <w:rPr>
                <w:b/>
                <w:bCs/>
              </w:rPr>
              <w:t xml:space="preserve">Intranasal</w:t>
            </w:r>
          </w:p>
        </w:tc>
        <w:tc>
          <w:tcPr/>
          <w:p>
            <w:pPr>
              <w:pStyle w:val="Compact"/>
            </w:pPr>
            <w:r>
              <w:t xml:space="preserve">Cyanocobalamin gel or spray (e.g. weekly nasal gel)</w:t>
            </w:r>
          </w:p>
        </w:tc>
        <w:tc>
          <w:tcPr/>
          <w:p>
            <w:pPr>
              <w:pStyle w:val="Compact"/>
            </w:pPr>
            <w:r>
              <w:t xml:space="preserve">Maintenance therapy for patients in remission (available in US/EU for pernicious anemia maintenance). Good for those who dislike injections and can’t adhere to daily pills.</w:t>
            </w:r>
          </w:p>
        </w:tc>
        <w:tc>
          <w:tcPr/>
          <w:p>
            <w:pPr>
              <w:pStyle w:val="Compact"/>
            </w:pPr>
            <w:r>
              <w:t xml:space="preserve">Once-weekly or monthly nasal B12 can maintain levels</w:t>
            </w:r>
            <w:hyperlink r:id="rId138">
              <w:r>
                <w:rPr>
                  <w:rStyle w:val="Hyperlink"/>
                </w:rPr>
                <w:t xml:space="preserve">[115]</w:t>
              </w:r>
            </w:hyperlink>
            <w:r>
              <w:t xml:space="preserve">. Bypasses GI, quick administration. Useful in pediatric or bariatric surgery patients who prefer not to swallow pills</w:t>
            </w:r>
            <w:hyperlink r:id="rId139">
              <w:r>
                <w:rPr>
                  <w:rStyle w:val="Hyperlink"/>
                </w:rPr>
                <w:t xml:space="preserve">[116]</w:t>
              </w:r>
            </w:hyperlink>
            <w:r>
              <w:t xml:space="preserve">.</w:t>
            </w:r>
          </w:p>
        </w:tc>
        <w:tc>
          <w:tcPr/>
          <w:p>
            <w:pPr>
              <w:pStyle w:val="Compact"/>
            </w:pPr>
            <w:r>
              <w:t xml:space="preserve">Nasal membrane must be intact (no severe sinus disease). Not for initial repletion if severe. Can cause local irritation. More expensive, and availability is limited in some regions.</w:t>
            </w:r>
          </w:p>
        </w:tc>
      </w:tr>
      <w:tr>
        <w:tc>
          <w:tcPr/>
          <w:p>
            <w:pPr>
              <w:pStyle w:val="Compact"/>
            </w:pPr>
            <w:r>
              <w:rPr>
                <w:b/>
                <w:bCs/>
              </w:rPr>
              <w:t xml:space="preserve">IV infusion</w:t>
            </w:r>
          </w:p>
        </w:tc>
        <w:tc>
          <w:tcPr/>
          <w:p>
            <w:pPr>
              <w:pStyle w:val="Compact"/>
            </w:pPr>
            <w:r>
              <w:t xml:space="preserve">Hydroxocobalamin or Methylcobalamin (rarely used)</w:t>
            </w:r>
          </w:p>
        </w:tc>
        <w:tc>
          <w:tcPr/>
          <w:p>
            <w:pPr>
              <w:pStyle w:val="Compact"/>
            </w:pPr>
            <w:r>
              <w:t xml:space="preserve">Not routinely needed since IM works well. IV B12 used occasionally in hospital settings for acute neurological presentations.</w:t>
            </w:r>
          </w:p>
        </w:tc>
        <w:tc>
          <w:tcPr/>
          <w:p>
            <w:pPr>
              <w:pStyle w:val="Compact"/>
            </w:pPr>
            <w:r>
              <w:t xml:space="preserve">Ensures 100% bioavailability rapidly.</w:t>
            </w:r>
          </w:p>
        </w:tc>
        <w:tc>
          <w:tcPr/>
          <w:p>
            <w:pPr>
              <w:pStyle w:val="Compact"/>
            </w:pPr>
            <w:r>
              <w:t xml:space="preserve">Not necessary for chronic management; no advantage over IM for most metrics.</w:t>
            </w:r>
          </w:p>
        </w:tc>
      </w:tr>
    </w:tbl>
    <w:p>
      <w:pPr>
        <w:pStyle w:val="BodyText"/>
      </w:pPr>
      <w:r>
        <w:t xml:space="preserve">In practice,</w:t>
      </w:r>
      <w:r>
        <w:t xml:space="preserve"> </w:t>
      </w:r>
      <w:r>
        <w:rPr>
          <w:b/>
          <w:bCs/>
        </w:rPr>
        <w:t xml:space="preserve">IM injection</w:t>
      </w:r>
      <w:r>
        <w:t xml:space="preserve"> </w:t>
      </w:r>
      <w:r>
        <w:t xml:space="preserve">has been the traditional gold standard, especially for pernicious anemia. IM Hydroxocobalamin (OHCbl) is commonly used in the UK and Europe because it has a longer retention time than cyanocobalamin – it remains in circulation longer and thus the maintenance interval can be as infrequent as every 2–3 months</w:t>
      </w:r>
      <w:hyperlink r:id="rId140">
        <w:r>
          <w:rPr>
            <w:rStyle w:val="Hyperlink"/>
          </w:rPr>
          <w:t xml:space="preserve">[117]</w:t>
        </w:r>
      </w:hyperlink>
      <w:hyperlink r:id="rId141">
        <w:r>
          <w:rPr>
            <w:rStyle w:val="Hyperlink"/>
          </w:rPr>
          <w:t xml:space="preserve">[118]</w:t>
        </w:r>
      </w:hyperlink>
      <w:r>
        <w:t xml:space="preserve">. In the US and many other countries,</w:t>
      </w:r>
      <w:r>
        <w:t xml:space="preserve"> </w:t>
      </w:r>
      <w:r>
        <w:rPr>
          <w:b/>
          <w:bCs/>
        </w:rPr>
        <w:t xml:space="preserve">IM Cyanocobalamin</w:t>
      </w:r>
      <w:r>
        <w:t xml:space="preserve"> </w:t>
      </w:r>
      <w:r>
        <w:t xml:space="preserve">is more available and typically given more frequently (e.g. monthly for maintenance).</w:t>
      </w:r>
    </w:p>
    <w:p>
      <w:pPr>
        <w:pStyle w:val="BodyText"/>
      </w:pPr>
      <w:r>
        <w:rPr>
          <w:b/>
          <w:bCs/>
        </w:rPr>
        <w:t xml:space="preserve">Oral high-dose B12</w:t>
      </w:r>
      <w:r>
        <w:t xml:space="preserve"> </w:t>
      </w:r>
      <w:r>
        <w:t xml:space="preserve">(usually 1000–2000 μg daily) has strong evidence supporting its use. A 2018 Cochrane review and multiple RCTs found that 1–2 mg oral cyanocobalamin daily is as effective as IM injections in achieving hematologic and neurologic responses for most patients</w:t>
      </w:r>
      <w:hyperlink r:id="rId130">
        <w:r>
          <w:rPr>
            <w:rStyle w:val="Hyperlink"/>
          </w:rPr>
          <w:t xml:space="preserve">[107]</w:t>
        </w:r>
      </w:hyperlink>
      <w:hyperlink r:id="rId142">
        <w:r>
          <w:rPr>
            <w:rStyle w:val="Hyperlink"/>
          </w:rPr>
          <w:t xml:space="preserve">[119]</w:t>
        </w:r>
      </w:hyperlink>
      <w:r>
        <w:t xml:space="preserve">. Oral B12 works because even without intrinsic factor, about 1% of a large dose is absorbed by passive diffusion</w:t>
      </w:r>
      <w:hyperlink r:id="rId136">
        <w:r>
          <w:rPr>
            <w:rStyle w:val="Hyperlink"/>
          </w:rPr>
          <w:t xml:space="preserve">[113]</w:t>
        </w:r>
      </w:hyperlink>
      <w:r>
        <w:t xml:space="preserve">. For example, a 1000 μg oral dose can yield ~10 μg absorbed (which is enough to meet daily needs and replenish stores over time)</w:t>
      </w:r>
      <w:hyperlink r:id="rId136">
        <w:r>
          <w:rPr>
            <w:rStyle w:val="Hyperlink"/>
          </w:rPr>
          <w:t xml:space="preserve">[113]</w:t>
        </w:r>
      </w:hyperlink>
      <w:r>
        <w:t xml:space="preserve">. Oral therapy is especially attractive for patients with dietary deficiency or those averse to injections. It is also cost-effective. However, in cases of severe deficiency with neurological symptoms, many clinicians still initiate IM therapy to ensure rapid correction (since adherence and absorption are less variable with IM). After initial IM repletion, some patients can be transitioned to oral for maintenance –</w:t>
      </w:r>
      <w:r>
        <w:t xml:space="preserve"> </w:t>
      </w:r>
      <w:r>
        <w:rPr>
          <w:b/>
          <w:bCs/>
        </w:rPr>
        <w:t xml:space="preserve">expert consensus</w:t>
      </w:r>
      <w:r>
        <w:t xml:space="preserve"> </w:t>
      </w:r>
      <w:r>
        <w:t xml:space="preserve">in 2024 agreed that the effectiveness of parenteral and high-dose oral B12 is similar for maintenance, so patient preference should guide the route in long-term treatment</w:t>
      </w:r>
      <w:hyperlink r:id="rId130">
        <w:r>
          <w:rPr>
            <w:rStyle w:val="Hyperlink"/>
          </w:rPr>
          <w:t xml:space="preserve">[107]</w:t>
        </w:r>
      </w:hyperlink>
      <w:hyperlink r:id="rId143">
        <w:r>
          <w:rPr>
            <w:rStyle w:val="Hyperlink"/>
          </w:rPr>
          <w:t xml:space="preserve">[120]</w:t>
        </w:r>
      </w:hyperlink>
      <w:r>
        <w:t xml:space="preserve">.</w:t>
      </w:r>
    </w:p>
    <w:p>
      <w:pPr>
        <w:pStyle w:val="BodyText"/>
      </w:pPr>
      <w:r>
        <w:rPr>
          <w:b/>
          <w:bCs/>
        </w:rPr>
        <w:t xml:space="preserve">Sublingual</w:t>
      </w:r>
      <w:r>
        <w:t xml:space="preserve"> </w:t>
      </w:r>
      <w:r>
        <w:t xml:space="preserve">B12 is essentially equivalent to oral swallowing in outcome</w:t>
      </w:r>
      <w:hyperlink r:id="rId137">
        <w:r>
          <w:rPr>
            <w:rStyle w:val="Hyperlink"/>
          </w:rPr>
          <w:t xml:space="preserve">[114]</w:t>
        </w:r>
      </w:hyperlink>
      <w:r>
        <w:t xml:space="preserve">. It became popular under the assumption that it bypasses GI absorption; while it does avoid first-pass metabolism, the main absorption is still through diffusing across mucosa (some of which is swallowed anyway). Studies have not shown sublingual to be superior to oral, but some patients find the dosage forms convenient (drops, lozenges). It’s a reasonable option for those who cannot swallow pills or have poor pill compliance.</w:t>
      </w:r>
    </w:p>
    <w:p>
      <w:pPr>
        <w:pStyle w:val="BodyText"/>
      </w:pPr>
      <w:r>
        <w:rPr>
          <w:b/>
          <w:bCs/>
        </w:rPr>
        <w:t xml:space="preserve">Nasal B12</w:t>
      </w:r>
      <w:r>
        <w:t xml:space="preserve"> </w:t>
      </w:r>
      <w:r>
        <w:t xml:space="preserve">(a weekly cyanocobalamin gel, brand example Nascobal) is an FDA-approved option for maintenance of B12 levels in pernicious anemia once repleted. It has been shown to keep B12 levels in normal range and is recommended to be given every 1–2 weeks depending on dose</w:t>
      </w:r>
      <w:hyperlink r:id="rId144">
        <w:r>
          <w:rPr>
            <w:rStyle w:val="Hyperlink"/>
          </w:rPr>
          <w:t xml:space="preserve">[121]</w:t>
        </w:r>
      </w:hyperlink>
      <w:r>
        <w:t xml:space="preserve">. It should not be used for initial repletion in severely deficient patients because it’s meant to maintain, not rapidly correct, B12 stores. Nasal B12 can be considered for patients who have responded to IM and want to avoid ongoing injections but also have difficulty with daily pills (e.g., cognitive impairment or poor adherence). Its cost and access can be limiting factors.</w:t>
      </w:r>
    </w:p>
    <w:bookmarkEnd w:id="145"/>
    <w:bookmarkStart w:id="170" w:name="Xe701a36f571a5a4ba454edaa442e843f63ef6e5"/>
    <w:p>
      <w:pPr>
        <w:pStyle w:val="Heading3"/>
      </w:pPr>
      <w:r>
        <w:t xml:space="preserve">Dose and Schedule: Repletion &amp; Maintenance Regimens</w:t>
      </w:r>
    </w:p>
    <w:p>
      <w:pPr>
        <w:pStyle w:val="FirstParagraph"/>
      </w:pPr>
      <w:r>
        <w:t xml:space="preserve">The treatment regimen often involves a</w:t>
      </w:r>
      <w:r>
        <w:t xml:space="preserve"> </w:t>
      </w:r>
      <w:r>
        <w:rPr>
          <w:b/>
          <w:bCs/>
        </w:rPr>
        <w:t xml:space="preserve">loading phase</w:t>
      </w:r>
      <w:r>
        <w:t xml:space="preserve"> </w:t>
      </w:r>
      <w:r>
        <w:t xml:space="preserve">to quickly correct deficiency, followed by an indefinite</w:t>
      </w:r>
      <w:r>
        <w:t xml:space="preserve"> </w:t>
      </w:r>
      <w:r>
        <w:rPr>
          <w:b/>
          <w:bCs/>
        </w:rPr>
        <w:t xml:space="preserve">maintenance phase</w:t>
      </w:r>
      <w:r>
        <w:t xml:space="preserve"> </w:t>
      </w:r>
      <w:r>
        <w:t xml:space="preserve">to prevent recurrence (especially if the cause is not reversible). Regimens vary slightly by guideline and region, but generally:</w:t>
      </w:r>
    </w:p>
    <w:p>
      <w:pPr>
        <w:pStyle w:val="Compact"/>
        <w:numPr>
          <w:ilvl w:val="0"/>
          <w:numId w:val="1005"/>
        </w:numPr>
      </w:pPr>
      <w:r>
        <w:rPr>
          <w:b/>
          <w:bCs/>
        </w:rPr>
        <w:t xml:space="preserve">Intramuscular Regimens:</w:t>
      </w:r>
      <w:r>
        <w:t xml:space="preserve"> </w:t>
      </w:r>
      <w:r>
        <w:t xml:space="preserve">For severe deficiency (especially pernicious anemia with anemia or neuro symptoms), a common regimen is:</w:t>
      </w:r>
    </w:p>
    <w:p>
      <w:pPr>
        <w:pStyle w:val="Compact"/>
        <w:numPr>
          <w:ilvl w:val="0"/>
          <w:numId w:val="1005"/>
        </w:numPr>
      </w:pPr>
      <w:r>
        <w:t xml:space="preserve">Loading: 1000 μg IM hydroxocobalamin or cyanocobalamin every other day or 3 times per week for about 2 weeks (total ~6 doses)</w:t>
      </w:r>
      <w:hyperlink r:id="rId140">
        <w:r>
          <w:rPr>
            <w:rStyle w:val="Hyperlink"/>
          </w:rPr>
          <w:t xml:space="preserve">[117]</w:t>
        </w:r>
      </w:hyperlink>
      <w:r>
        <w:t xml:space="preserve">. UK guidelines (BSH, NICE) recommend hydroxocobalamin 1 mg IM on alternate days for 2 weeks in patients with neurological involvement</w:t>
      </w:r>
      <w:hyperlink r:id="rId146">
        <w:r>
          <w:rPr>
            <w:rStyle w:val="Hyperlink"/>
          </w:rPr>
          <w:t xml:space="preserve">[122]</w:t>
        </w:r>
      </w:hyperlink>
      <w:r>
        <w:t xml:space="preserve">. If no neurological symptoms, some protocols give 1 mg IM thrice weekly for 2 weeks. This saturates B12 binding sites and partially replenishes stores.</w:t>
      </w:r>
    </w:p>
    <w:p>
      <w:pPr>
        <w:pStyle w:val="Compact"/>
        <w:numPr>
          <w:ilvl w:val="0"/>
          <w:numId w:val="1005"/>
        </w:numPr>
      </w:pPr>
      <w:r>
        <w:t xml:space="preserve">Maintenance: Once deficiency is corrected, maintenance depends on cause. In pernicious anemia or permanent malabsorption,</w:t>
      </w:r>
      <w:r>
        <w:t xml:space="preserve"> </w:t>
      </w:r>
      <w:r>
        <w:rPr>
          <w:b/>
          <w:bCs/>
        </w:rPr>
        <w:t xml:space="preserve">IM hydroxocobalamin 1000 μg every 2–3 months for life</w:t>
      </w:r>
      <w:r>
        <w:t xml:space="preserve"> </w:t>
      </w:r>
      <w:r>
        <w:t xml:space="preserve">is standard in the UK</w:t>
      </w:r>
      <w:hyperlink r:id="rId140">
        <w:r>
          <w:rPr>
            <w:rStyle w:val="Hyperlink"/>
          </w:rPr>
          <w:t xml:space="preserve">[117]</w:t>
        </w:r>
      </w:hyperlink>
      <w:r>
        <w:t xml:space="preserve">. In the US, typical maintenance is</w:t>
      </w:r>
      <w:r>
        <w:t xml:space="preserve"> </w:t>
      </w:r>
      <w:r>
        <w:rPr>
          <w:b/>
          <w:bCs/>
        </w:rPr>
        <w:t xml:space="preserve">IM cyanocobalamin 1000 μg monthly for life</w:t>
      </w:r>
      <w:hyperlink r:id="rId141">
        <w:r>
          <w:rPr>
            <w:rStyle w:val="Hyperlink"/>
          </w:rPr>
          <w:t xml:space="preserve">[123]</w:t>
        </w:r>
      </w:hyperlink>
      <w:r>
        <w:t xml:space="preserve">. The slight difference is due to hydroxocobalamin’s longer storage; studies show hydroxocobalamin raises B12 levels for &gt;3 months, whereas cyanocobalamin levels start falling by 1 month</w:t>
      </w:r>
      <w:hyperlink r:id="rId147">
        <w:r>
          <w:rPr>
            <w:rStyle w:val="Hyperlink"/>
          </w:rPr>
          <w:t xml:space="preserve">[124]</w:t>
        </w:r>
      </w:hyperlink>
      <w:hyperlink r:id="rId31">
        <w:r>
          <w:rPr>
            <w:rStyle w:val="Hyperlink"/>
          </w:rPr>
          <w:t xml:space="preserve">[11]</w:t>
        </w:r>
      </w:hyperlink>
      <w:r>
        <w:t xml:space="preserve">.</w:t>
      </w:r>
    </w:p>
    <w:p>
      <w:pPr>
        <w:pStyle w:val="Compact"/>
        <w:numPr>
          <w:ilvl w:val="0"/>
          <w:numId w:val="1005"/>
        </w:numPr>
      </w:pPr>
      <w:r>
        <w:t xml:space="preserve">If neurologic symptoms were present initially, some experts continue more frequent injections (e.g. 1 mg every 1–2 months) for a longer period, and ensure symptoms have stabilized or improved before spacing out.</w:t>
      </w:r>
    </w:p>
    <w:p>
      <w:pPr>
        <w:numPr>
          <w:ilvl w:val="0"/>
          <w:numId w:val="1005"/>
        </w:numPr>
      </w:pPr>
      <w:r>
        <w:t xml:space="preserve">Patients without permanent malabsorption (e.g. dietary cases) may not require lifelong injections after repletion – they can switch to oral or stop therapy if diet is corrected and levels remain normal. UK’s NICE suggests that for dietary deficiency, once B12 is replete and diet improved, injections can be stopped and monitoring done</w:t>
      </w:r>
      <w:hyperlink r:id="rId148">
        <w:r>
          <w:rPr>
            <w:rStyle w:val="Hyperlink"/>
          </w:rPr>
          <w:t xml:space="preserve">[125]</w:t>
        </w:r>
      </w:hyperlink>
      <w:hyperlink r:id="rId149">
        <w:r>
          <w:rPr>
            <w:rStyle w:val="Hyperlink"/>
          </w:rPr>
          <w:t xml:space="preserve">[126]</w:t>
        </w:r>
      </w:hyperlink>
      <w:r>
        <w:t xml:space="preserve">.</w:t>
      </w:r>
    </w:p>
    <w:p>
      <w:pPr>
        <w:numPr>
          <w:ilvl w:val="0"/>
          <w:numId w:val="1005"/>
        </w:numPr>
      </w:pPr>
      <w:r>
        <w:rPr>
          <w:b/>
          <w:bCs/>
        </w:rPr>
        <w:t xml:space="preserve">Oral Regimens:</w:t>
      </w:r>
      <w:r>
        <w:t xml:space="preserve"> </w:t>
      </w:r>
      <w:r>
        <w:t xml:space="preserve">High-dose oral therapy can be used for both initial treatment and maintenance:</w:t>
      </w:r>
    </w:p>
    <w:p>
      <w:pPr>
        <w:pStyle w:val="Compact"/>
        <w:numPr>
          <w:ilvl w:val="0"/>
          <w:numId w:val="1005"/>
        </w:numPr>
      </w:pPr>
      <w:r>
        <w:t xml:space="preserve">A typical dose is</w:t>
      </w:r>
      <w:r>
        <w:t xml:space="preserve"> </w:t>
      </w:r>
      <w:r>
        <w:rPr>
          <w:b/>
          <w:bCs/>
        </w:rPr>
        <w:t xml:space="preserve">1000–2000 μg (1–2 mg) of oral cyanocobalamin daily</w:t>
      </w:r>
      <w:r>
        <w:t xml:space="preserve">. Some protocols use 1000 μg twice daily for the first week as a “loading” by oral route, then 1000 μg daily</w:t>
      </w:r>
      <w:hyperlink r:id="rId135">
        <w:r>
          <w:rPr>
            <w:rStyle w:val="Hyperlink"/>
          </w:rPr>
          <w:t xml:space="preserve">[112]</w:t>
        </w:r>
      </w:hyperlink>
      <w:hyperlink r:id="rId150">
        <w:r>
          <w:rPr>
            <w:rStyle w:val="Hyperlink"/>
          </w:rPr>
          <w:t xml:space="preserve">[127]</w:t>
        </w:r>
      </w:hyperlink>
      <w:r>
        <w:t xml:space="preserve">. In many studies, 2 mg daily was used for the first 1–4 months.</w:t>
      </w:r>
    </w:p>
    <w:p>
      <w:pPr>
        <w:pStyle w:val="Compact"/>
        <w:numPr>
          <w:ilvl w:val="0"/>
          <w:numId w:val="1005"/>
        </w:numPr>
      </w:pPr>
      <w:r>
        <w:t xml:space="preserve">Once levels and hematologic indices normalize (usually after 1–2 months), the dose can sometimes be reduced to 1000 μg a few times per week. However, many recommend continuing daily 1000 μg if the patient is willing, since B12 is water-soluble and excess is excreted.</w:t>
      </w:r>
    </w:p>
    <w:p>
      <w:pPr>
        <w:pStyle w:val="Compact"/>
        <w:numPr>
          <w:ilvl w:val="0"/>
          <w:numId w:val="1005"/>
        </w:numPr>
      </w:pPr>
      <w:r>
        <w:t xml:space="preserve">Oral therapy is lifelong for pernicious anemia. If the cause is dietary and diet is now sufficient, oral supplementation could potentially be stopped after a course of 1–3 months and monitoring ensured. But often a low-dose maintenance (like a multivitamin or 250 μg daily) is still advised for safety.</w:t>
      </w:r>
    </w:p>
    <w:p>
      <w:pPr>
        <w:pStyle w:val="Compact"/>
        <w:numPr>
          <w:ilvl w:val="0"/>
          <w:numId w:val="1005"/>
        </w:numPr>
      </w:pPr>
      <w:r>
        <w:rPr>
          <w:b/>
          <w:bCs/>
        </w:rPr>
        <w:t xml:space="preserve">Adherence</w:t>
      </w:r>
      <w:r>
        <w:t xml:space="preserve"> </w:t>
      </w:r>
      <w:r>
        <w:t xml:space="preserve">is critical – missing oral doses will quickly allow B12 levels to fall. Thus, oral is not ideal for patients who are not reliable in taking daily medications.</w:t>
      </w:r>
    </w:p>
    <w:p>
      <w:pPr>
        <w:numPr>
          <w:ilvl w:val="0"/>
          <w:numId w:val="1005"/>
        </w:numPr>
      </w:pPr>
      <w:r>
        <w:t xml:space="preserve">Notably, a</w:t>
      </w:r>
      <w:r>
        <w:t xml:space="preserve"> </w:t>
      </w:r>
      <w:r>
        <w:rPr>
          <w:b/>
          <w:bCs/>
        </w:rPr>
        <w:t xml:space="preserve">2020 randomized trial (OB12 trial)</w:t>
      </w:r>
      <w:r>
        <w:t xml:space="preserve"> </w:t>
      </w:r>
      <w:r>
        <w:t xml:space="preserve">in primary care showed that a regimen of oral B12 was non-inferior to IM in restoring B12 levels and hematologic parameters over a year</w:t>
      </w:r>
      <w:hyperlink r:id="rId151">
        <w:r>
          <w:rPr>
            <w:rStyle w:val="Hyperlink"/>
          </w:rPr>
          <w:t xml:space="preserve">[128]</w:t>
        </w:r>
      </w:hyperlink>
      <w:r>
        <w:t xml:space="preserve">. This and other evidence has solidified oral therapy as a legitimate alternative even for pernicious anemia, provided patient adherence and follow-up are ensured</w:t>
      </w:r>
      <w:hyperlink r:id="rId130">
        <w:r>
          <w:rPr>
            <w:rStyle w:val="Hyperlink"/>
          </w:rPr>
          <w:t xml:space="preserve">[107]</w:t>
        </w:r>
      </w:hyperlink>
      <w:hyperlink r:id="rId131">
        <w:r>
          <w:rPr>
            <w:rStyle w:val="Hyperlink"/>
          </w:rPr>
          <w:t xml:space="preserve">[108]</w:t>
        </w:r>
      </w:hyperlink>
      <w:r>
        <w:t xml:space="preserve">.</w:t>
      </w:r>
    </w:p>
    <w:p>
      <w:pPr>
        <w:numPr>
          <w:ilvl w:val="0"/>
          <w:numId w:val="1005"/>
        </w:numPr>
      </w:pPr>
      <w:r>
        <w:rPr>
          <w:b/>
          <w:bCs/>
        </w:rPr>
        <w:t xml:space="preserve">Sublingual/Nasal Regimens:</w:t>
      </w:r>
      <w:r>
        <w:t xml:space="preserve"> </w:t>
      </w:r>
      <w:r>
        <w:t xml:space="preserve">Sublingual dosing is usually the same as oral (1 mg daily under the tongue). Nasal gel (500 μg in one nostril weekly, for example) is used for maintenance. For instance, US practice for pernicious anemia might be 500 μg nasal weekly after initial IM loading</w:t>
      </w:r>
      <w:hyperlink r:id="rId139">
        <w:r>
          <w:rPr>
            <w:rStyle w:val="Hyperlink"/>
          </w:rPr>
          <w:t xml:space="preserve">[116]</w:t>
        </w:r>
      </w:hyperlink>
      <w:r>
        <w:t xml:space="preserve">. These are typically maintenance options; initial correction is still often done with IM or oral.</w:t>
      </w:r>
    </w:p>
    <w:p>
      <w:pPr>
        <w:pStyle w:val="FirstParagraph"/>
      </w:pPr>
      <w:r>
        <w:rPr>
          <w:b/>
          <w:bCs/>
        </w:rPr>
        <w:t xml:space="preserve">Dose safety:</w:t>
      </w:r>
      <w:r>
        <w:t xml:space="preserve"> </w:t>
      </w:r>
      <w:r>
        <w:t xml:space="preserve">It is essentially impossible to overdose on B12 – excess cobalamin is excreted in urine. High doses (e.g. 5 mg oral daily) have been used experimentally without ill effect, though they are unnecessary for most. Thus, dosing can be liberal. For example, some clinicians give 1000 μg IM weekly for 4–8 weeks for severe cases instead of every other day, which is fine albeit slower. Oral doses above 1–2 mg confer little added absorption (because passive diffusion maxes out around 1% of dose), but some protocols in malabsorption use up to 4–5 mg daily with no harm</w:t>
      </w:r>
      <w:hyperlink r:id="rId135">
        <w:r>
          <w:rPr>
            <w:rStyle w:val="Hyperlink"/>
          </w:rPr>
          <w:t xml:space="preserve">[112]</w:t>
        </w:r>
      </w:hyperlink>
      <w:r>
        <w:t xml:space="preserve">.</w:t>
      </w:r>
    </w:p>
    <w:p>
      <w:pPr>
        <w:pStyle w:val="BodyText"/>
      </w:pPr>
      <w:r>
        <w:rPr>
          <w:b/>
          <w:bCs/>
        </w:rPr>
        <w:t xml:space="preserve">Monitoring Response:</w:t>
      </w:r>
      <w:r>
        <w:t xml:space="preserve"> </w:t>
      </w:r>
      <w:r>
        <w:t xml:space="preserve">A robust hematologic response to B12 therapy is usually evident:</w:t>
      </w:r>
      <w:r>
        <w:t xml:space="preserve"> </w:t>
      </w:r>
      <w:r>
        <w:t xml:space="preserve">- Reticulocyte count rises within 3–5 days, peaking around 1 week as new RBC production surges.</w:t>
      </w:r>
      <w:r>
        <w:t xml:space="preserve"> </w:t>
      </w:r>
      <w:r>
        <w:t xml:space="preserve">- Hemoglobin begins to increase by the end of the first week and often normalizes within 1–2 months.</w:t>
      </w:r>
      <w:r>
        <w:t xml:space="preserve"> </w:t>
      </w:r>
      <w:r>
        <w:t xml:space="preserve">- Neurologic improvement may start within 1–2 weeks for mild symptoms (improved appetite, reflexes), but can take 3–6 months for maximal recovery of severe neuropathy. Some residual deficits may remain if damage was advanced.</w:t>
      </w:r>
      <w:r>
        <w:t xml:space="preserve"> </w:t>
      </w:r>
      <w:r>
        <w:t xml:space="preserve">- Serum potassium can drop in the first week of treatment as new blood cells uptake potassium; severe hypokalemia is rare but it is prudent to check potassium in the second week especially if the patient had profound anemia.</w:t>
      </w:r>
      <w:r>
        <w:t xml:space="preserve"> </w:t>
      </w:r>
      <w:r>
        <w:t xml:space="preserve">- Follow-up labs: A repeat B12 level is often checked ~1–2 months after therapy initiation to ensure it’s normalized (though if the patient is on treatment, it almost always will be high). MMA and homocysteine levels should normalize after 1–2 months of adequate therapy (these are sometimes checked in research or if compliance is in question). CBC is repeated earlier, usually after ~8 weeks, to confirm anemia resolution</w:t>
      </w:r>
      <w:hyperlink r:id="rId152">
        <w:r>
          <w:rPr>
            <w:rStyle w:val="Hyperlink"/>
          </w:rPr>
          <w:t xml:space="preserve">[129]</w:t>
        </w:r>
      </w:hyperlink>
      <w:hyperlink r:id="rId153">
        <w:r>
          <w:rPr>
            <w:rStyle w:val="Hyperlink"/>
          </w:rPr>
          <w:t xml:space="preserve">[130]</w:t>
        </w:r>
      </w:hyperlink>
      <w:r>
        <w:t xml:space="preserve">.</w:t>
      </w:r>
      <w:r>
        <w:t xml:space="preserve"> </w:t>
      </w:r>
      <w:r>
        <w:t xml:space="preserve">- Lack of response: If a patient’s hematologic values do not improve by 4–8 weeks, or neurologic symptoms continue to progress, one must reassess the diagnosis and consider coexisting problems (such as concurrent folate deficiency, thalassemia, or incorrect initial diagnosis). According to NICE, if an inadequate response occurs, referral to a specialist is advised</w:t>
      </w:r>
      <w:hyperlink r:id="rId154">
        <w:r>
          <w:rPr>
            <w:rStyle w:val="Hyperlink"/>
          </w:rPr>
          <w:t xml:space="preserve">[131]</w:t>
        </w:r>
      </w:hyperlink>
      <w:r>
        <w:t xml:space="preserve">. One should also verify compliance, especially for oral therapy (some patients may not have taken it properly).</w:t>
      </w:r>
    </w:p>
    <w:p>
      <w:pPr>
        <w:pStyle w:val="BodyText"/>
      </w:pPr>
      <w:r>
        <w:rPr>
          <w:b/>
          <w:bCs/>
        </w:rPr>
        <w:t xml:space="preserve">Comparative Efficacy of Different B12 Forms:</w:t>
      </w:r>
      <w:r>
        <w:t xml:space="preserve"> </w:t>
      </w:r>
      <w:r>
        <w:t xml:space="preserve">Cobalamin can be administered in various chemical forms:</w:t>
      </w:r>
      <w:r>
        <w:t xml:space="preserve"> </w:t>
      </w:r>
      <w:r>
        <w:t xml:space="preserve">-</w:t>
      </w:r>
      <w:r>
        <w:t xml:space="preserve"> </w:t>
      </w:r>
      <w:r>
        <w:rPr>
          <w:b/>
          <w:bCs/>
        </w:rPr>
        <w:t xml:space="preserve">Cyanocobalamin (CNCbl):</w:t>
      </w:r>
      <w:r>
        <w:t xml:space="preserve"> </w:t>
      </w:r>
      <w:r>
        <w:t xml:space="preserve">A synthetic form, stable and inexpensive. It has a cyanide ligand which is released in metabolism – the amount of cyanide (~20 μg per 1000 μg dose) is negligible for most, but in heavy smokers or those with cyanide metabolism defects, hydroxo form is sometimes preferred</w:t>
      </w:r>
      <w:hyperlink r:id="rId155">
        <w:r>
          <w:rPr>
            <w:rStyle w:val="Hyperlink"/>
          </w:rPr>
          <w:t xml:space="preserve">[132]</w:t>
        </w:r>
      </w:hyperlink>
      <w:hyperlink r:id="rId156">
        <w:r>
          <w:rPr>
            <w:rStyle w:val="Hyperlink"/>
          </w:rPr>
          <w:t xml:space="preserve">[133]</w:t>
        </w:r>
      </w:hyperlink>
      <w:r>
        <w:t xml:space="preserve">. Cyanocobalamin requires conversion to active forms in the body. It is very well studied and has an excellent safety profile</w:t>
      </w:r>
      <w:hyperlink r:id="rId157">
        <w:r>
          <w:rPr>
            <w:rStyle w:val="Hyperlink"/>
          </w:rPr>
          <w:t xml:space="preserve">[134]</w:t>
        </w:r>
      </w:hyperlink>
      <w:r>
        <w:t xml:space="preserve">. One downside is that it is somewhat less retained: studies show that when equal doses are given, cyanocobalamin leads to slightly higher urinary excretion and lower liver storage than hydroxo or methyl forms</w:t>
      </w:r>
      <w:hyperlink r:id="rId30">
        <w:r>
          <w:rPr>
            <w:rStyle w:val="Hyperlink"/>
          </w:rPr>
          <w:t xml:space="preserve">[10]</w:t>
        </w:r>
      </w:hyperlink>
      <w:hyperlink r:id="rId147">
        <w:r>
          <w:rPr>
            <w:rStyle w:val="Hyperlink"/>
          </w:rPr>
          <w:t xml:space="preserve">[124]</w:t>
        </w:r>
      </w:hyperlink>
      <w:r>
        <w:t xml:space="preserve">. Specifically, one animal study found 3× more B12 was excreted in urine with cyanocobalamin vs methylcobalamin, and 13% less B12 was retained in the liver with cyanocobalamin</w:t>
      </w:r>
      <w:hyperlink r:id="rId30">
        <w:r>
          <w:rPr>
            <w:rStyle w:val="Hyperlink"/>
          </w:rPr>
          <w:t xml:space="preserve">[10]</w:t>
        </w:r>
      </w:hyperlink>
      <w:r>
        <w:t xml:space="preserve">. Human data reviewed by Chalmers also indicated cyanocobalamin had lower tissue retention and higher urinary loss compared to hydroxocobalamin or methylcobalamin</w:t>
      </w:r>
      <w:hyperlink r:id="rId158">
        <w:r>
          <w:rPr>
            <w:rStyle w:val="Hyperlink"/>
          </w:rPr>
          <w:t xml:space="preserve">[135]</w:t>
        </w:r>
      </w:hyperlink>
      <w:r>
        <w:t xml:space="preserve">. Despite this, cyanocobalamin in high daily doses can adequately treat most patients – it may just require continuous dosing.</w:t>
      </w:r>
      <w:r>
        <w:t xml:space="preserve"> </w:t>
      </w:r>
      <w:r>
        <w:rPr>
          <w:b/>
          <w:bCs/>
        </w:rPr>
        <w:t xml:space="preserve">Cost-effectiveness:</w:t>
      </w:r>
      <w:r>
        <w:t xml:space="preserve"> </w:t>
      </w:r>
      <w:r>
        <w:t xml:space="preserve">Cyanocobalamin is the cheapest form and the most commonly used in supplements and fortified foods due to its stability</w:t>
      </w:r>
      <w:hyperlink r:id="rId159">
        <w:r>
          <w:rPr>
            <w:rStyle w:val="Hyperlink"/>
          </w:rPr>
          <w:t xml:space="preserve">[136]</w:t>
        </w:r>
      </w:hyperlink>
      <w:hyperlink r:id="rId160">
        <w:r>
          <w:rPr>
            <w:rStyle w:val="Hyperlink"/>
          </w:rPr>
          <w:t xml:space="preserve">[137]</w:t>
        </w:r>
      </w:hyperlink>
      <w:r>
        <w:t xml:space="preserve">. For many patients, especially in North America, it is the default form.</w:t>
      </w:r>
      <w:r>
        <w:t xml:space="preserve"> </w:t>
      </w:r>
      <w:r>
        <w:t xml:space="preserve">-</w:t>
      </w:r>
      <w:r>
        <w:t xml:space="preserve"> </w:t>
      </w:r>
      <w:r>
        <w:rPr>
          <w:b/>
          <w:bCs/>
        </w:rPr>
        <w:t xml:space="preserve">Hydroxocobalamin (OHCbl):</w:t>
      </w:r>
      <w:r>
        <w:t xml:space="preserve"> </w:t>
      </w:r>
      <w:r>
        <w:t xml:space="preserve">A natural form produced by bacteria, often the form used in injections in Europe. It has a high affinity for B12 binding proteins and remains longer in circulation. Hydroxocobalamin 1 mg IM can maintain B12 levels for 2–3 months, whereas cyanocobalamin IM may need monthly dosing</w:t>
      </w:r>
      <w:hyperlink r:id="rId31">
        <w:r>
          <w:rPr>
            <w:rStyle w:val="Hyperlink"/>
          </w:rPr>
          <w:t xml:space="preserve">[11]</w:t>
        </w:r>
      </w:hyperlink>
      <w:hyperlink r:id="rId141">
        <w:r>
          <w:rPr>
            <w:rStyle w:val="Hyperlink"/>
          </w:rPr>
          <w:t xml:space="preserve">[123]</w:t>
        </w:r>
      </w:hyperlink>
      <w:r>
        <w:t xml:space="preserve">. OHCbl is also used as an antidote for cyanide poisoning (as it avidly binds cyanide to form cyanocobalamin) – this underscores its safety in smokers or patients with cyanide exposure. It is more expensive than cyanocobalamin, but due to less frequent dosing, the overall cost difference may be small in maintenance. Some studies also suggest hydroxocobalamin achieves better neurologic outcomes, though evidence is limited. Overall, hydroxocobalamin is considered a “high-retention” form and is the</w:t>
      </w:r>
      <w:r>
        <w:t xml:space="preserve"> </w:t>
      </w:r>
      <w:r>
        <w:rPr>
          <w:b/>
          <w:bCs/>
        </w:rPr>
        <w:t xml:space="preserve">recommended parenteral form in the UK</w:t>
      </w:r>
      <w:hyperlink r:id="rId140">
        <w:r>
          <w:rPr>
            <w:rStyle w:val="Hyperlink"/>
          </w:rPr>
          <w:t xml:space="preserve">[117]</w:t>
        </w:r>
      </w:hyperlink>
      <w:r>
        <w:t xml:space="preserve">.</w:t>
      </w:r>
      <w:r>
        <w:t xml:space="preserve"> </w:t>
      </w:r>
      <w:r>
        <w:t xml:space="preserve">-</w:t>
      </w:r>
      <w:r>
        <w:t xml:space="preserve"> </w:t>
      </w:r>
      <w:r>
        <w:rPr>
          <w:b/>
          <w:bCs/>
        </w:rPr>
        <w:t xml:space="preserve">Methylcobalamin (MeCbl):</w:t>
      </w:r>
      <w:r>
        <w:t xml:space="preserve"> </w:t>
      </w:r>
      <w:r>
        <w:t xml:space="preserve">A coenzyme form of B12, this is the active form used by methionine synthase in cells. It is available in some countries as an injection (e.g. Japan often uses MeCbl shots) and as oral supplements. Marketers have claimed methylcobalamin is better for neurologic health, but scientifically, all forms must be converted to core cobalamin then back to active forms inside cells</w:t>
      </w:r>
      <w:hyperlink r:id="rId27">
        <w:r>
          <w:rPr>
            <w:rStyle w:val="Hyperlink"/>
          </w:rPr>
          <w:t xml:space="preserve">[7]</w:t>
        </w:r>
      </w:hyperlink>
      <w:hyperlink r:id="rId29">
        <w:r>
          <w:rPr>
            <w:rStyle w:val="Hyperlink"/>
          </w:rPr>
          <w:t xml:space="preserve">[9]</w:t>
        </w:r>
      </w:hyperlink>
      <w:r>
        <w:t xml:space="preserve">. The methyl group on MeCbl is removed during absorption and does</w:t>
      </w:r>
      <w:r>
        <w:t xml:space="preserve"> </w:t>
      </w:r>
      <w:r>
        <w:rPr>
          <w:i/>
          <w:iCs/>
        </w:rPr>
        <w:t xml:space="preserve">not</w:t>
      </w:r>
      <w:r>
        <w:t xml:space="preserve"> </w:t>
      </w:r>
      <w:r>
        <w:t xml:space="preserve">directly act as a methyl donor until the cobalamin is processed intracellularly</w:t>
      </w:r>
      <w:hyperlink r:id="rId161">
        <w:r>
          <w:rPr>
            <w:rStyle w:val="Hyperlink"/>
          </w:rPr>
          <w:t xml:space="preserve">[138]</w:t>
        </w:r>
      </w:hyperlink>
      <w:hyperlink r:id="rId162">
        <w:r>
          <w:rPr>
            <w:rStyle w:val="Hyperlink"/>
          </w:rPr>
          <w:t xml:space="preserve">[139]</w:t>
        </w:r>
      </w:hyperlink>
      <w:r>
        <w:t xml:space="preserve">. Some studies, as mentioned, show MeCbl may have slightly better retention in tissues than CN-Cbl: e.g. the animal study above where MeCbl led to more liver storage than CN-Cbl</w:t>
      </w:r>
      <w:hyperlink r:id="rId30">
        <w:r>
          <w:rPr>
            <w:rStyle w:val="Hyperlink"/>
          </w:rPr>
          <w:t xml:space="preserve">[10]</w:t>
        </w:r>
      </w:hyperlink>
      <w:r>
        <w:t xml:space="preserve">. Methylcobalamin has been heavily used in Japan and there are reports it might be beneficial for certain neuropathies. However, evidence suggests for typical B12 deficiency, it is equally effective as other forms</w:t>
      </w:r>
      <w:hyperlink r:id="rId131">
        <w:r>
          <w:rPr>
            <w:rStyle w:val="Hyperlink"/>
          </w:rPr>
          <w:t xml:space="preserve">[108]</w:t>
        </w:r>
      </w:hyperlink>
      <w:r>
        <w:t xml:space="preserve">. One niche scenario is genetic disorders (like some CbIE or CbIG defects) where specific forms might bypass blocks – but this is beyond scope. As a supplement, methylcobalamin is widely available and often chosen by patients who prefer a “natural form.” It is usually more costly and less shelf-stable than cyanocobalamin</w:t>
      </w:r>
      <w:hyperlink r:id="rId163">
        <w:r>
          <w:rPr>
            <w:rStyle w:val="Hyperlink"/>
          </w:rPr>
          <w:t xml:space="preserve">[140]</w:t>
        </w:r>
      </w:hyperlink>
      <w:r>
        <w:t xml:space="preserve">.</w:t>
      </w:r>
      <w:r>
        <w:t xml:space="preserve"> </w:t>
      </w:r>
      <w:r>
        <w:t xml:space="preserve">-</w:t>
      </w:r>
      <w:r>
        <w:t xml:space="preserve"> </w:t>
      </w:r>
      <w:r>
        <w:rPr>
          <w:b/>
          <w:bCs/>
        </w:rPr>
        <w:t xml:space="preserve">Adenosylcobalamin (AdoCbl):</w:t>
      </w:r>
      <w:r>
        <w:t xml:space="preserve"> </w:t>
      </w:r>
      <w:r>
        <w:t xml:space="preserve">The other coenzyme form (for methylmalonyl-CoA mutase). Available mostly as supplements (sometimes called “dibencozide”). Adenosylcobalamin is needed in mitochondria. Similar to MeCbl, any ingested AdoCbl is broken down to cobalamin, and cells will make their own adenosyl-B12 as needed</w:t>
      </w:r>
      <w:hyperlink r:id="rId29">
        <w:r>
          <w:rPr>
            <w:rStyle w:val="Hyperlink"/>
          </w:rPr>
          <w:t xml:space="preserve">[9]</w:t>
        </w:r>
      </w:hyperlink>
      <w:hyperlink r:id="rId161">
        <w:r>
          <w:rPr>
            <w:rStyle w:val="Hyperlink"/>
          </w:rPr>
          <w:t xml:space="preserve">[138]</w:t>
        </w:r>
      </w:hyperlink>
      <w:r>
        <w:t xml:space="preserve">. There is a myth that taking adenosylcobalamin specifically boosts mitochondrial B12, but studies show the adenosyl group is removed upon absorption and does not directly travel to mitochondria intact</w:t>
      </w:r>
      <w:hyperlink r:id="rId161">
        <w:r>
          <w:rPr>
            <w:rStyle w:val="Hyperlink"/>
          </w:rPr>
          <w:t xml:space="preserve">[138]</w:t>
        </w:r>
      </w:hyperlink>
      <w:hyperlink r:id="rId162">
        <w:r>
          <w:rPr>
            <w:rStyle w:val="Hyperlink"/>
          </w:rPr>
          <w:t xml:space="preserve">[139]</w:t>
        </w:r>
      </w:hyperlink>
      <w:r>
        <w:t xml:space="preserve">. Adenosylcobalamin is the least researched in supplementation. It is generally not used for injections. It’s the most expensive form as a supplement and not typically needed except perhaps in rare metabolic disorders where conversion is impaired. The integrative review noted AdoCbl has the least studied pharmacokinetics and no clear advantage in ordinary deficiency</w:t>
      </w:r>
      <w:hyperlink r:id="rId164">
        <w:r>
          <w:rPr>
            <w:rStyle w:val="Hyperlink"/>
          </w:rPr>
          <w:t xml:space="preserve">[141]</w:t>
        </w:r>
      </w:hyperlink>
      <w:hyperlink r:id="rId161">
        <w:r>
          <w:rPr>
            <w:rStyle w:val="Hyperlink"/>
          </w:rPr>
          <w:t xml:space="preserve">[138]</w:t>
        </w:r>
      </w:hyperlink>
      <w:r>
        <w:t xml:space="preserve">.</w:t>
      </w:r>
      <w:r>
        <w:t xml:space="preserve"> </w:t>
      </w:r>
      <w:r>
        <w:t xml:space="preserve">-</w:t>
      </w:r>
      <w:r>
        <w:t xml:space="preserve"> </w:t>
      </w:r>
      <w:r>
        <w:rPr>
          <w:b/>
          <w:bCs/>
        </w:rPr>
        <w:t xml:space="preserve">Which form to choose?</w:t>
      </w:r>
      <w:r>
        <w:t xml:space="preserve"> </w:t>
      </w:r>
      <w:r>
        <w:t xml:space="preserve">For most patients, whichever form is readily available and affordable is acceptable. The</w:t>
      </w:r>
      <w:r>
        <w:t xml:space="preserve"> </w:t>
      </w:r>
      <w:r>
        <w:rPr>
          <w:b/>
          <w:bCs/>
        </w:rPr>
        <w:t xml:space="preserve">2024 Delphi consensus</w:t>
      </w:r>
      <w:r>
        <w:t xml:space="preserve"> </w:t>
      </w:r>
      <w:r>
        <w:t xml:space="preserve">concluded that for the majority of people, all B12 forms have similar bioavailability and clinical effects, so using the least expensive form (often cyanocobalamin) is sensible</w:t>
      </w:r>
      <w:hyperlink r:id="rId165">
        <w:r>
          <w:rPr>
            <w:rStyle w:val="Hyperlink"/>
          </w:rPr>
          <w:t xml:space="preserve">[142]</w:t>
        </w:r>
      </w:hyperlink>
      <w:r>
        <w:t xml:space="preserve">. They did, however, favor using</w:t>
      </w:r>
      <w:r>
        <w:t xml:space="preserve"> </w:t>
      </w:r>
      <w:r>
        <w:rPr>
          <w:i/>
          <w:iCs/>
        </w:rPr>
        <w:t xml:space="preserve">bioidentical forms</w:t>
      </w:r>
      <w:r>
        <w:t xml:space="preserve"> </w:t>
      </w:r>
      <w:r>
        <w:t xml:space="preserve">(methyl, adenosyl, hydroxo) over cyano in principle due to the absence of the cyanide moiety and potentially better tissue retention</w:t>
      </w:r>
      <w:hyperlink r:id="rId165">
        <w:r>
          <w:rPr>
            <w:rStyle w:val="Hyperlink"/>
          </w:rPr>
          <w:t xml:space="preserve">[142]</w:t>
        </w:r>
      </w:hyperlink>
      <w:r>
        <w:t xml:space="preserve">. Some clinicians tailor the form: e.g. give hydroxocobalamin to smokers (to avoid cyanide load)</w:t>
      </w:r>
      <w:hyperlink r:id="rId156">
        <w:r>
          <w:rPr>
            <w:rStyle w:val="Hyperlink"/>
          </w:rPr>
          <w:t xml:space="preserve">[133]</w:t>
        </w:r>
      </w:hyperlink>
      <w:r>
        <w:t xml:space="preserve">, or try methylcobalamin in patients who do not respond to cyanocobalamin (there are anecdotal cases where neuropathy improved only after switching forms, possibly due to unknown polymorphisms)</w:t>
      </w:r>
      <w:hyperlink r:id="rId66">
        <w:r>
          <w:rPr>
            <w:rStyle w:val="Hyperlink"/>
          </w:rPr>
          <w:t xml:space="preserve">[48]</w:t>
        </w:r>
      </w:hyperlink>
      <w:r>
        <w:t xml:space="preserve">. But robust evidence for superiority of one form in general treatment is lacking. Hydroxocobalamin’s advantage is mainly injection interval; methyl vs cyano vs hydroxo oral all effectively raise B12 if given in high doses</w:t>
      </w:r>
      <w:hyperlink r:id="rId166">
        <w:r>
          <w:rPr>
            <w:rStyle w:val="Hyperlink"/>
          </w:rPr>
          <w:t xml:space="preserve">[143]</w:t>
        </w:r>
      </w:hyperlink>
      <w:hyperlink r:id="rId167">
        <w:r>
          <w:rPr>
            <w:rStyle w:val="Hyperlink"/>
          </w:rPr>
          <w:t xml:space="preserve">[144]</w:t>
        </w:r>
      </w:hyperlink>
      <w:r>
        <w:t xml:space="preserve">.</w:t>
      </w:r>
    </w:p>
    <w:p>
      <w:pPr>
        <w:pStyle w:val="BodyText"/>
      </w:pPr>
      <w:r>
        <w:t xml:space="preserve">In summary,</w:t>
      </w:r>
      <w:r>
        <w:t xml:space="preserve"> </w:t>
      </w:r>
      <w:r>
        <w:rPr>
          <w:b/>
          <w:bCs/>
        </w:rPr>
        <w:t xml:space="preserve">all routes and forms can be effective</w:t>
      </w:r>
      <w:r>
        <w:t xml:space="preserve"> </w:t>
      </w:r>
      <w:r>
        <w:t xml:space="preserve">if dosed appropriately. Treatment should be individualized based on severity and patient factors:</w:t>
      </w:r>
      <w:r>
        <w:t xml:space="preserve"> </w:t>
      </w:r>
      <w:r>
        <w:t xml:space="preserve">- If patient has pernicious anemia with severe neurologic symptoms → start IM (often hydroxocobalamin) for rapid effect.</w:t>
      </w:r>
      <w:r>
        <w:t xml:space="preserve"> </w:t>
      </w:r>
      <w:r>
        <w:t xml:space="preserve">- If patient has mild deficiency or dietary cause → high-dose oral cyanocobalamin is convenient and evidence-based.</w:t>
      </w:r>
      <w:r>
        <w:t xml:space="preserve"> </w:t>
      </w:r>
      <w:r>
        <w:t xml:space="preserve">- If patient cannot tolerate IM and has malabsorption → oral can still work (via passive uptake) if compliance assured; or consider SL/nasal.</w:t>
      </w:r>
      <w:r>
        <w:t xml:space="preserve"> </w:t>
      </w:r>
      <w:r>
        <w:t xml:space="preserve">- For maintenance of pernicious anemia → IM hydroxocobalamin every 2–3 months</w:t>
      </w:r>
      <w:r>
        <w:t xml:space="preserve"> </w:t>
      </w:r>
      <w:r>
        <w:rPr>
          <w:i/>
          <w:iCs/>
        </w:rPr>
        <w:t xml:space="preserve">or</w:t>
      </w:r>
      <w:r>
        <w:t xml:space="preserve"> </w:t>
      </w:r>
      <w:r>
        <w:t xml:space="preserve">daily oral 1 mg are both acceptable. Many UK patients are managed on 3-monthly hydroxocobalamin IM for life</w:t>
      </w:r>
      <w:hyperlink r:id="rId140">
        <w:r>
          <w:rPr>
            <w:rStyle w:val="Hyperlink"/>
          </w:rPr>
          <w:t xml:space="preserve">[117]</w:t>
        </w:r>
      </w:hyperlink>
      <w:r>
        <w:t xml:space="preserve">, while many Canadian patients are on oral B12 for life with good results</w:t>
      </w:r>
      <w:hyperlink r:id="rId168">
        <w:r>
          <w:rPr>
            <w:rStyle w:val="Hyperlink"/>
          </w:rPr>
          <w:t xml:space="preserve">[145]</w:t>
        </w:r>
      </w:hyperlink>
      <w:hyperlink r:id="rId169">
        <w:r>
          <w:rPr>
            <w:rStyle w:val="Hyperlink"/>
          </w:rPr>
          <w:t xml:space="preserve">[146]</w:t>
        </w:r>
      </w:hyperlink>
      <w:r>
        <w:t xml:space="preserve">.</w:t>
      </w:r>
      <w:r>
        <w:t xml:space="preserve"> </w:t>
      </w:r>
      <w:r>
        <w:t xml:space="preserve">- Keep in mind cost and availability: e.g. hydroxocobalamin might not be available in the US (where monthly cyanocobalamin is standard), and oral B12 at prescription strength might not be covered by insurance whereas OTC supplements are cheap.</w:t>
      </w:r>
    </w:p>
    <w:bookmarkEnd w:id="170"/>
    <w:bookmarkStart w:id="198" w:name="X84dfc91f9f223fd02b9b44bc179416a7b0ca2eb"/>
    <w:p>
      <w:pPr>
        <w:pStyle w:val="Heading3"/>
      </w:pPr>
      <w:r>
        <w:t xml:space="preserve">Treatment Guidelines in Different Regions</w:t>
      </w:r>
    </w:p>
    <w:p>
      <w:pPr>
        <w:pStyle w:val="FirstParagraph"/>
      </w:pPr>
      <w:r>
        <w:t xml:space="preserve">Approaches to B12 treatment have historically varied by region, but there is increasing convergence toward accepting oral therapy and tailoring treatment to patient needs</w:t>
      </w:r>
      <w:hyperlink r:id="rId171">
        <w:r>
          <w:rPr>
            <w:rStyle w:val="Hyperlink"/>
          </w:rPr>
          <w:t xml:space="preserve">[147]</w:t>
        </w:r>
      </w:hyperlink>
      <w:hyperlink r:id="rId172">
        <w:r>
          <w:rPr>
            <w:rStyle w:val="Hyperlink"/>
          </w:rPr>
          <w:t xml:space="preserve">[148]</w:t>
        </w:r>
      </w:hyperlink>
      <w:r>
        <w:t xml:space="preserve">. Below is a brief survey of recommendations from major guidelines and consensus statements (2010–2025):</w:t>
      </w:r>
    </w:p>
    <w:p>
      <w:pPr>
        <w:numPr>
          <w:ilvl w:val="0"/>
          <w:numId w:val="1006"/>
        </w:numPr>
      </w:pPr>
      <w:r>
        <w:rPr>
          <w:b/>
          <w:bCs/>
        </w:rPr>
        <w:t xml:space="preserve">United Kingdom (NICE and BSH):</w:t>
      </w:r>
      <w:r>
        <w:t xml:space="preserve"> </w:t>
      </w:r>
      <w:r>
        <w:t xml:space="preserve">The UK has long used</w:t>
      </w:r>
      <w:r>
        <w:t xml:space="preserve"> </w:t>
      </w:r>
      <w:r>
        <w:rPr>
          <w:b/>
          <w:bCs/>
        </w:rPr>
        <w:t xml:space="preserve">hydroxocobalamin IM</w:t>
      </w:r>
      <w:r>
        <w:t xml:space="preserve"> </w:t>
      </w:r>
      <w:r>
        <w:t xml:space="preserve">as first-line for B12 deficiency. The British Society for Haematology (BSH) and new 2024 NICE Guideline NG239 recommend hydroxocobalamin 1 mg IM as initial therapy for confirmed deficiency, especially for pernicious anemia or any malabsorptive cause</w:t>
      </w:r>
      <w:hyperlink r:id="rId140">
        <w:r>
          <w:rPr>
            <w:rStyle w:val="Hyperlink"/>
          </w:rPr>
          <w:t xml:space="preserve">[117]</w:t>
        </w:r>
      </w:hyperlink>
      <w:r>
        <w:t xml:space="preserve">. For patients</w:t>
      </w:r>
      <w:r>
        <w:t xml:space="preserve"> </w:t>
      </w:r>
      <w:r>
        <w:rPr>
          <w:i/>
          <w:iCs/>
        </w:rPr>
        <w:t xml:space="preserve">without</w:t>
      </w:r>
      <w:r>
        <w:t xml:space="preserve"> </w:t>
      </w:r>
      <w:r>
        <w:t xml:space="preserve">neurological involvement, NICE allows starting with oral cyanocobalamin if the cause is dietary</w:t>
      </w:r>
      <w:hyperlink r:id="rId148">
        <w:r>
          <w:rPr>
            <w:rStyle w:val="Hyperlink"/>
          </w:rPr>
          <w:t xml:space="preserve">[125]</w:t>
        </w:r>
      </w:hyperlink>
      <w:r>
        <w:t xml:space="preserve">. Specifically, NICE suggests that dietary deficiency can be managed with oral cyanocobalamin 50–150 μg daily between meals or, alternatively, a</w:t>
      </w:r>
      <w:r>
        <w:t xml:space="preserve"> </w:t>
      </w:r>
      <w:r>
        <w:rPr>
          <w:b/>
          <w:bCs/>
        </w:rPr>
        <w:t xml:space="preserve">twice-yearly</w:t>
      </w:r>
      <w:r>
        <w:t xml:space="preserve"> </w:t>
      </w:r>
      <w:r>
        <w:t xml:space="preserve">prophylactic injection of 1 mg hydroxocobalamin</w:t>
      </w:r>
      <w:hyperlink r:id="rId148">
        <w:r>
          <w:rPr>
            <w:rStyle w:val="Hyperlink"/>
          </w:rPr>
          <w:t xml:space="preserve">[149]</w:t>
        </w:r>
      </w:hyperlink>
      <w:r>
        <w:t xml:space="preserve">. (The twice-yearly injection is a relatively low-frequency regimen for those who cannot adhere to oral pills and is intended for cases where absorption is intact – it may not be sufficient for pernicious anemia). If the patient is vegan and unlikely to correct diet, NICE indicates they</w:t>
      </w:r>
      <w:r>
        <w:t xml:space="preserve"> </w:t>
      </w:r>
      <w:r>
        <w:rPr>
          <w:i/>
          <w:iCs/>
        </w:rPr>
        <w:t xml:space="preserve">may need lifelong injections</w:t>
      </w:r>
      <w:r>
        <w:t xml:space="preserve"> </w:t>
      </w:r>
      <w:r>
        <w:t xml:space="preserve">every 2–3 months even if absorption is normal, because they will not ingest B12 otherwise</w:t>
      </w:r>
      <w:hyperlink r:id="rId148">
        <w:r>
          <w:rPr>
            <w:rStyle w:val="Hyperlink"/>
          </w:rPr>
          <w:t xml:space="preserve">[149]</w:t>
        </w:r>
      </w:hyperlink>
      <w:r>
        <w:t xml:space="preserve">. In confirmed pernicious anemia, UK practice is: 1 mg IM hydroxocobalamin on alternate days for 2 weeks (loading), then 1 mg IM every 3 months for life</w:t>
      </w:r>
      <w:hyperlink r:id="rId140">
        <w:r>
          <w:rPr>
            <w:rStyle w:val="Hyperlink"/>
          </w:rPr>
          <w:t xml:space="preserve">[117]</w:t>
        </w:r>
      </w:hyperlink>
      <w:r>
        <w:t xml:space="preserve">. For those with neurological involvement, injections are given on alternate days</w:t>
      </w:r>
      <w:r>
        <w:t xml:space="preserve"> </w:t>
      </w:r>
      <w:r>
        <w:rPr>
          <w:i/>
          <w:iCs/>
        </w:rPr>
        <w:t xml:space="preserve">until no further improvement</w:t>
      </w:r>
      <w:r>
        <w:t xml:space="preserve">, then every 2 months for maintenance (NICE suggests a shorter interval for neuro cases)</w:t>
      </w:r>
      <w:hyperlink r:id="rId146">
        <w:r>
          <w:rPr>
            <w:rStyle w:val="Hyperlink"/>
          </w:rPr>
          <w:t xml:space="preserve">[122]</w:t>
        </w:r>
      </w:hyperlink>
      <w:r>
        <w:t xml:space="preserve">. The UK also encourages healthcare professionals to support</w:t>
      </w:r>
      <w:r>
        <w:t xml:space="preserve"> </w:t>
      </w:r>
      <w:r>
        <w:rPr>
          <w:b/>
          <w:bCs/>
        </w:rPr>
        <w:t xml:space="preserve">self-administration</w:t>
      </w:r>
      <w:r>
        <w:t xml:space="preserve"> </w:t>
      </w:r>
      <w:r>
        <w:t xml:space="preserve">of B12 injections for patients who require lifelong therapy, to reduce burden on clinics</w:t>
      </w:r>
      <w:hyperlink r:id="rId134">
        <w:r>
          <w:rPr>
            <w:rStyle w:val="Hyperlink"/>
          </w:rPr>
          <w:t xml:space="preserve">[111]</w:t>
        </w:r>
      </w:hyperlink>
      <w:r>
        <w:t xml:space="preserve">. Oral B12 in the UK is often only recommended if IM is refused or truly not feasible. (High-dose cyanocobalamin tablets are actually not licensed on NHS prescription for deficiency – patients would buy OTC.) However, the recognition of oral efficacy is growing. NICE and NHS sources note that 1 mg oral cyanocobalamin daily can be considered if IM is contraindicated or refused</w:t>
      </w:r>
      <w:hyperlink r:id="rId173">
        <w:r>
          <w:rPr>
            <w:rStyle w:val="Hyperlink"/>
          </w:rPr>
          <w:t xml:space="preserve">[150]</w:t>
        </w:r>
      </w:hyperlink>
      <w:hyperlink r:id="rId174">
        <w:r>
          <w:rPr>
            <w:rStyle w:val="Hyperlink"/>
          </w:rPr>
          <w:t xml:space="preserve">[151]</w:t>
        </w:r>
      </w:hyperlink>
      <w:r>
        <w:t xml:space="preserve">. Follow-up recommendations by NICE: check FBC and B12 levels after about 10 days and 8 weeks to confirm response</w:t>
      </w:r>
      <w:hyperlink r:id="rId154">
        <w:r>
          <w:rPr>
            <w:rStyle w:val="Hyperlink"/>
          </w:rPr>
          <w:t xml:space="preserve">[131]</w:t>
        </w:r>
      </w:hyperlink>
      <w:r>
        <w:t xml:space="preserve">, but routine periodic B12 testing thereafter is not needed unless symptoms recur. Notably, NICE also includes guidance on</w:t>
      </w:r>
      <w:r>
        <w:t xml:space="preserve"> </w:t>
      </w:r>
      <w:r>
        <w:rPr>
          <w:b/>
          <w:bCs/>
        </w:rPr>
        <w:t xml:space="preserve">gastric cancer surveillance</w:t>
      </w:r>
      <w:r>
        <w:t xml:space="preserve"> </w:t>
      </w:r>
      <w:r>
        <w:t xml:space="preserve">in autoimmune gastritis (see below).</w:t>
      </w:r>
    </w:p>
    <w:p>
      <w:pPr>
        <w:numPr>
          <w:ilvl w:val="0"/>
          <w:numId w:val="1006"/>
        </w:numPr>
      </w:pPr>
      <w:r>
        <w:rPr>
          <w:b/>
          <w:bCs/>
        </w:rPr>
        <w:t xml:space="preserve">North America (USA/Canada):</w:t>
      </w:r>
      <w:r>
        <w:t xml:space="preserve"> </w:t>
      </w:r>
      <w:r>
        <w:t xml:space="preserve">There is no single unified guideline for the US, but practice is informed by publications like the American Society of Hematology’s “How I treat cobalamin deficiency”</w:t>
      </w:r>
      <w:hyperlink r:id="rId175">
        <w:r>
          <w:rPr>
            <w:rStyle w:val="Hyperlink"/>
          </w:rPr>
          <w:t xml:space="preserve">[152]</w:t>
        </w:r>
      </w:hyperlink>
      <w:r>
        <w:t xml:space="preserve"> </w:t>
      </w:r>
      <w:r>
        <w:t xml:space="preserve">and various expert reviews. Traditionally, US management favored</w:t>
      </w:r>
      <w:r>
        <w:t xml:space="preserve"> </w:t>
      </w:r>
      <w:r>
        <w:rPr>
          <w:b/>
          <w:bCs/>
        </w:rPr>
        <w:t xml:space="preserve">IM cyanocobalamin 1000 μg</w:t>
      </w:r>
      <w:r>
        <w:t xml:space="preserve">: daily for 1–2 weeks, then weekly for a month, then monthly for life (a common regimen)</w:t>
      </w:r>
      <w:hyperlink r:id="rId146">
        <w:r>
          <w:rPr>
            <w:rStyle w:val="Hyperlink"/>
          </w:rPr>
          <w:t xml:space="preserve">[122]</w:t>
        </w:r>
      </w:hyperlink>
      <w:r>
        <w:t xml:space="preserve">. Oral B12 has been underutilized in the US historically, but evidence from as early as 2006 and the 2018 Cochrane review has led to broader acceptance. Many US physicians now do try oral B12 for mild cases or patient preference. For example, a primary care approach might be: if B12 100–300 (borderline) and patient asymptomatic, try oral supplements and recheck. If symptomatic deficiency, do IM to ensure compliance. The US Institute of Medicine has noted that oral B12 is effective, and some clinical practice guidelines (e.g. by Kaiser Permanente or certain hospital groups) have protocols for oral treatment.</w:t>
      </w:r>
      <w:r>
        <w:t xml:space="preserve"> </w:t>
      </w:r>
      <w:r>
        <w:rPr>
          <w:b/>
          <w:bCs/>
        </w:rPr>
        <w:t xml:space="preserve">Canada</w:t>
      </w:r>
      <w:r>
        <w:t xml:space="preserve"> </w:t>
      </w:r>
      <w:r>
        <w:t xml:space="preserve">has been more proactive with oral therapy: Canadian guidelines and studies (e.g. Ontario Guidelines) often recommend</w:t>
      </w:r>
      <w:r>
        <w:t xml:space="preserve"> </w:t>
      </w:r>
      <w:r>
        <w:rPr>
          <w:b/>
          <w:bCs/>
        </w:rPr>
        <w:t xml:space="preserve">1000–2000 μg oral cyanocobalamin daily</w:t>
      </w:r>
      <w:r>
        <w:t xml:space="preserve"> </w:t>
      </w:r>
      <w:r>
        <w:t xml:space="preserve">for B12 deficiency, even in pernicious anemia, except in cases with severe neurological symptoms</w:t>
      </w:r>
      <w:hyperlink r:id="rId176">
        <w:r>
          <w:rPr>
            <w:rStyle w:val="Hyperlink"/>
          </w:rPr>
          <w:t xml:space="preserve">[153]</w:t>
        </w:r>
      </w:hyperlink>
      <w:hyperlink r:id="rId177">
        <w:r>
          <w:rPr>
            <w:rStyle w:val="Hyperlink"/>
          </w:rPr>
          <w:t xml:space="preserve">[154]</w:t>
        </w:r>
      </w:hyperlink>
      <w:r>
        <w:t xml:space="preserve">. A common Canadian practice for pernicious anemia is to give IM for a short course and then switch to oral for maintenance</w:t>
      </w:r>
      <w:hyperlink r:id="rId168">
        <w:r>
          <w:rPr>
            <w:rStyle w:val="Hyperlink"/>
          </w:rPr>
          <w:t xml:space="preserve">[145]</w:t>
        </w:r>
      </w:hyperlink>
      <w:r>
        <w:t xml:space="preserve">. This is supported by a 2005 Canadian randomized trial that showed oral was as good as IM in PA. Thus, North America is increasingly aligned with global evidence:</w:t>
      </w:r>
      <w:r>
        <w:t xml:space="preserve"> </w:t>
      </w:r>
      <w:r>
        <w:rPr>
          <w:b/>
          <w:bCs/>
        </w:rPr>
        <w:t xml:space="preserve">IM for severe or if adherence is questionable, oral high-dose as an effective alternative</w:t>
      </w:r>
      <w:r>
        <w:t xml:space="preserve">. North American guidelines also emphasize addressing reversible causes (stop offending drugs if possible, diet changes, etc.) and checking for folate or concomitant deficiencies.</w:t>
      </w:r>
    </w:p>
    <w:p>
      <w:pPr>
        <w:numPr>
          <w:ilvl w:val="0"/>
          <w:numId w:val="1006"/>
        </w:numPr>
      </w:pPr>
      <w:r>
        <w:rPr>
          <w:b/>
          <w:bCs/>
        </w:rPr>
        <w:t xml:space="preserve">Europe (Delphi Consensus &amp; Others):</w:t>
      </w:r>
      <w:r>
        <w:t xml:space="preserve"> </w:t>
      </w:r>
      <w:r>
        <w:t xml:space="preserve">A Delphi consensus of European experts published in 2024 (Obeid et al., J. Clin. Med.) provides updated guidance</w:t>
      </w:r>
      <w:hyperlink r:id="rId130">
        <w:r>
          <w:rPr>
            <w:rStyle w:val="Hyperlink"/>
          </w:rPr>
          <w:t xml:space="preserve">[107]</w:t>
        </w:r>
      </w:hyperlink>
      <w:hyperlink r:id="rId109">
        <w:r>
          <w:rPr>
            <w:rStyle w:val="Hyperlink"/>
          </w:rPr>
          <w:t xml:space="preserve">[89]</w:t>
        </w:r>
      </w:hyperlink>
      <w:r>
        <w:t xml:space="preserve">. Key points from this consensus:</w:t>
      </w:r>
    </w:p>
    <w:p>
      <w:pPr>
        <w:pStyle w:val="Compact"/>
        <w:numPr>
          <w:ilvl w:val="0"/>
          <w:numId w:val="1006"/>
        </w:numPr>
      </w:pPr>
      <w:r>
        <w:t xml:space="preserve">Clinical assessment is paramount – don’t rely solely on lab cutoffs; treat if symptoms and biochemical markers suggest deficiency even with borderline B12</w:t>
      </w:r>
      <w:hyperlink r:id="rId100">
        <w:r>
          <w:rPr>
            <w:rStyle w:val="Hyperlink"/>
          </w:rPr>
          <w:t xml:space="preserve">[81]</w:t>
        </w:r>
      </w:hyperlink>
      <w:r>
        <w:t xml:space="preserve">.</w:t>
      </w:r>
    </w:p>
    <w:p>
      <w:pPr>
        <w:pStyle w:val="Compact"/>
        <w:numPr>
          <w:ilvl w:val="0"/>
          <w:numId w:val="1006"/>
        </w:numPr>
      </w:pPr>
      <w:r>
        <w:t xml:space="preserve">Recognize high-risk groups and consider</w:t>
      </w:r>
      <w:r>
        <w:t xml:space="preserve"> </w:t>
      </w:r>
      <w:r>
        <w:rPr>
          <w:i/>
          <w:iCs/>
        </w:rPr>
        <w:t xml:space="preserve">prophylactic B12 supplementation</w:t>
      </w:r>
      <w:r>
        <w:t xml:space="preserve"> </w:t>
      </w:r>
      <w:r>
        <w:t xml:space="preserve">for them (e.g. vegans, older patients on PPIs, metformin users, patients post-bariatric surgery)</w:t>
      </w:r>
      <w:hyperlink r:id="rId178">
        <w:r>
          <w:rPr>
            <w:rStyle w:val="Hyperlink"/>
          </w:rPr>
          <w:t xml:space="preserve">[155]</w:t>
        </w:r>
      </w:hyperlink>
      <w:hyperlink r:id="rId179">
        <w:r>
          <w:rPr>
            <w:rStyle w:val="Hyperlink"/>
          </w:rPr>
          <w:t xml:space="preserve">[156]</w:t>
        </w:r>
      </w:hyperlink>
      <w:r>
        <w:t xml:space="preserve">.</w:t>
      </w:r>
    </w:p>
    <w:p>
      <w:pPr>
        <w:pStyle w:val="Compact"/>
        <w:numPr>
          <w:ilvl w:val="0"/>
          <w:numId w:val="1006"/>
        </w:numPr>
      </w:pPr>
      <w:r>
        <w:t xml:space="preserve">Oral B12 is highlighted as</w:t>
      </w:r>
      <w:r>
        <w:t xml:space="preserve"> </w:t>
      </w:r>
      <w:r>
        <w:rPr>
          <w:i/>
          <w:iCs/>
        </w:rPr>
        <w:t xml:space="preserve">likely equivalent</w:t>
      </w:r>
      <w:r>
        <w:t xml:space="preserve"> </w:t>
      </w:r>
      <w:r>
        <w:t xml:space="preserve">to IM for maintenance in many patients</w:t>
      </w:r>
      <w:hyperlink r:id="rId130">
        <w:r>
          <w:rPr>
            <w:rStyle w:val="Hyperlink"/>
          </w:rPr>
          <w:t xml:space="preserve">[107]</w:t>
        </w:r>
      </w:hyperlink>
      <w:hyperlink r:id="rId131">
        <w:r>
          <w:rPr>
            <w:rStyle w:val="Hyperlink"/>
          </w:rPr>
          <w:t xml:space="preserve">[108]</w:t>
        </w:r>
      </w:hyperlink>
      <w:r>
        <w:t xml:space="preserve">. The consensus agreed that 1000–2000 μg/day orally can be used even in B12 malabsorption with good outcomes</w:t>
      </w:r>
      <w:hyperlink r:id="rId180">
        <w:r>
          <w:rPr>
            <w:rStyle w:val="Hyperlink"/>
          </w:rPr>
          <w:t xml:space="preserve">[157]</w:t>
        </w:r>
      </w:hyperlink>
      <w:hyperlink r:id="rId135">
        <w:r>
          <w:rPr>
            <w:rStyle w:val="Hyperlink"/>
          </w:rPr>
          <w:t xml:space="preserve">[112]</w:t>
        </w:r>
      </w:hyperlink>
      <w:r>
        <w:t xml:space="preserve">. They do note that severe cases might warrant initial IM to rapidly alleviate symptoms, but long-term route can be decided with patient input</w:t>
      </w:r>
      <w:hyperlink r:id="rId143">
        <w:r>
          <w:rPr>
            <w:rStyle w:val="Hyperlink"/>
          </w:rPr>
          <w:t xml:space="preserve">[120]</w:t>
        </w:r>
      </w:hyperlink>
      <w:hyperlink r:id="rId181">
        <w:r>
          <w:rPr>
            <w:rStyle w:val="Hyperlink"/>
          </w:rPr>
          <w:t xml:space="preserve">[158]</w:t>
        </w:r>
      </w:hyperlink>
      <w:r>
        <w:t xml:space="preserve">.</w:t>
      </w:r>
    </w:p>
    <w:p>
      <w:pPr>
        <w:pStyle w:val="Compact"/>
        <w:numPr>
          <w:ilvl w:val="0"/>
          <w:numId w:val="1006"/>
        </w:numPr>
      </w:pPr>
      <w:r>
        <w:t xml:space="preserve">Patient preference is important: one consensus statement was that the route of B12 administration should consider patient choice and this may change over time</w:t>
      </w:r>
      <w:hyperlink r:id="rId182">
        <w:r>
          <w:rPr>
            <w:rStyle w:val="Hyperlink"/>
          </w:rPr>
          <w:t xml:space="preserve">[159]</w:t>
        </w:r>
      </w:hyperlink>
      <w:hyperlink r:id="rId183">
        <w:r>
          <w:rPr>
            <w:rStyle w:val="Hyperlink"/>
          </w:rPr>
          <w:t xml:space="preserve">[160]</w:t>
        </w:r>
      </w:hyperlink>
      <w:r>
        <w:t xml:space="preserve">. For instance, a patient might start with IM, then later switch to oral.</w:t>
      </w:r>
    </w:p>
    <w:p>
      <w:pPr>
        <w:pStyle w:val="Compact"/>
        <w:numPr>
          <w:ilvl w:val="0"/>
          <w:numId w:val="1006"/>
        </w:numPr>
      </w:pPr>
      <w:r>
        <w:t xml:space="preserve">Parenteral (IM) therapy should be prioritized when there are higher degrees of acuity or severe neurologic symptoms (the panel agreed on this with &gt;85% consensus)</w:t>
      </w:r>
      <w:hyperlink r:id="rId184">
        <w:r>
          <w:rPr>
            <w:rStyle w:val="Hyperlink"/>
          </w:rPr>
          <w:t xml:space="preserve">[161]</w:t>
        </w:r>
      </w:hyperlink>
      <w:hyperlink r:id="rId185">
        <w:r>
          <w:rPr>
            <w:rStyle w:val="Hyperlink"/>
          </w:rPr>
          <w:t xml:space="preserve">[162]</w:t>
        </w:r>
      </w:hyperlink>
      <w:r>
        <w:t xml:space="preserve">.</w:t>
      </w:r>
    </w:p>
    <w:p>
      <w:pPr>
        <w:pStyle w:val="Compact"/>
        <w:numPr>
          <w:ilvl w:val="0"/>
          <w:numId w:val="1006"/>
        </w:numPr>
      </w:pPr>
      <w:r>
        <w:t xml:space="preserve">The panel strongly recommended</w:t>
      </w:r>
      <w:r>
        <w:t xml:space="preserve"> </w:t>
      </w:r>
      <w:r>
        <w:rPr>
          <w:b/>
          <w:bCs/>
        </w:rPr>
        <w:t xml:space="preserve">screening and prophylactic supplementation</w:t>
      </w:r>
      <w:r>
        <w:t xml:space="preserve"> </w:t>
      </w:r>
      <w:r>
        <w:t xml:space="preserve">for certain groups (e.g., all patients who underwent bariatric surgery, all vegans, all patients on long-term metformin or PPIs)</w:t>
      </w:r>
      <w:hyperlink r:id="rId179">
        <w:r>
          <w:rPr>
            <w:rStyle w:val="Hyperlink"/>
          </w:rPr>
          <w:t xml:space="preserve">[156]</w:t>
        </w:r>
      </w:hyperlink>
      <w:hyperlink r:id="rId186">
        <w:r>
          <w:rPr>
            <w:rStyle w:val="Hyperlink"/>
          </w:rPr>
          <w:t xml:space="preserve">[163]</w:t>
        </w:r>
      </w:hyperlink>
      <w:r>
        <w:t xml:space="preserve">.</w:t>
      </w:r>
    </w:p>
    <w:p>
      <w:pPr>
        <w:pStyle w:val="Compact"/>
        <w:numPr>
          <w:ilvl w:val="0"/>
          <w:numId w:val="1006"/>
        </w:numPr>
      </w:pPr>
      <w:r>
        <w:t xml:space="preserve">They also stressed that once neurological symptoms are addressed with adequate B12, if symptoms don’t improve, re-evaluate for other causes and ensure B12 dose was sufficient (sometimes recommending switching to IM if oral was used and response inadequate)</w:t>
      </w:r>
      <w:hyperlink r:id="rId143">
        <w:r>
          <w:rPr>
            <w:rStyle w:val="Hyperlink"/>
          </w:rPr>
          <w:t xml:space="preserve">[120]</w:t>
        </w:r>
      </w:hyperlink>
      <w:hyperlink r:id="rId187">
        <w:r>
          <w:rPr>
            <w:rStyle w:val="Hyperlink"/>
          </w:rPr>
          <w:t xml:space="preserve">[164]</w:t>
        </w:r>
      </w:hyperlink>
      <w:r>
        <w:t xml:space="preserve">.</w:t>
      </w:r>
    </w:p>
    <w:p>
      <w:pPr>
        <w:pStyle w:val="Compact"/>
        <w:numPr>
          <w:ilvl w:val="0"/>
          <w:numId w:val="1006"/>
        </w:numPr>
      </w:pPr>
      <w:r>
        <w:t xml:space="preserve">Frequency: the consensus did not dictate an exact IM schedule but noted that common practice is daily or every-other-day injections for 1–2 weeks, then weekly, then monthly or quarterly depending on form</w:t>
      </w:r>
      <w:hyperlink r:id="rId135">
        <w:r>
          <w:rPr>
            <w:rStyle w:val="Hyperlink"/>
          </w:rPr>
          <w:t xml:space="preserve">[112]</w:t>
        </w:r>
      </w:hyperlink>
      <w:hyperlink r:id="rId168">
        <w:r>
          <w:rPr>
            <w:rStyle w:val="Hyperlink"/>
          </w:rPr>
          <w:t xml:space="preserve">[145]</w:t>
        </w:r>
      </w:hyperlink>
      <w:r>
        <w:t xml:space="preserve">.</w:t>
      </w:r>
    </w:p>
    <w:p>
      <w:pPr>
        <w:pStyle w:val="Compact"/>
        <w:numPr>
          <w:ilvl w:val="0"/>
          <w:numId w:val="1006"/>
        </w:numPr>
      </w:pPr>
      <w:r>
        <w:t xml:space="preserve">This Delphi guidance largely aligns with national guidelines from Germany, France, etc., which typically endorse IM for confirmed PA and allow oral for those who can absorb or for maintenance. For example, in</w:t>
      </w:r>
      <w:r>
        <w:t xml:space="preserve"> </w:t>
      </w:r>
      <w:r>
        <w:rPr>
          <w:b/>
          <w:bCs/>
        </w:rPr>
        <w:t xml:space="preserve">Germany</w:t>
      </w:r>
      <w:r>
        <w:t xml:space="preserve">, many clinicians use a combination: they might give a series of IM injections (often cyanocobalamin IM weekly for 4–6 weeks) and then put the patient on oral supplements. The German Nutritional Society (DGE) updated reference intakes in 2018 to 4 μg/day for adults (from 3 μg), acknowledging that a sizeable minority of people may need supplements to reach this intake</w:t>
      </w:r>
      <w:hyperlink r:id="rId188">
        <w:r>
          <w:rPr>
            <w:rStyle w:val="Hyperlink"/>
          </w:rPr>
          <w:t xml:space="preserve">[165]</w:t>
        </w:r>
      </w:hyperlink>
      <w:hyperlink r:id="rId189">
        <w:r>
          <w:rPr>
            <w:rStyle w:val="Hyperlink"/>
          </w:rPr>
          <w:t xml:space="preserve">[166]</w:t>
        </w:r>
      </w:hyperlink>
      <w:r>
        <w:t xml:space="preserve">. However, formal German guidelines (AWMF) on treating deficiency emphasize parenteral therapy for pernicious anemia. The</w:t>
      </w:r>
      <w:r>
        <w:t xml:space="preserve"> </w:t>
      </w:r>
      <w:r>
        <w:rPr>
          <w:b/>
          <w:bCs/>
        </w:rPr>
        <w:t xml:space="preserve">Netherlands</w:t>
      </w:r>
      <w:r>
        <w:t xml:space="preserve">’ family physician guidelines (NHG 2021) suggest that if B12 is 148–250 pmol/L with symptoms, one should treat (they advise IM initially, or high-dose oral if IM refused, followed by daily oral maintenance in many cases)</w:t>
      </w:r>
      <w:hyperlink r:id="rId190">
        <w:r>
          <w:rPr>
            <w:rStyle w:val="Hyperlink"/>
          </w:rPr>
          <w:t xml:space="preserve">[167]</w:t>
        </w:r>
      </w:hyperlink>
      <w:r>
        <w:t xml:space="preserve">.</w:t>
      </w:r>
    </w:p>
    <w:p>
      <w:pPr>
        <w:pStyle w:val="Compact"/>
        <w:numPr>
          <w:ilvl w:val="0"/>
          <w:numId w:val="1006"/>
        </w:numPr>
      </w:pPr>
      <w:r>
        <w:rPr>
          <w:b/>
          <w:bCs/>
        </w:rPr>
        <w:t xml:space="preserve">France</w:t>
      </w:r>
      <w:r>
        <w:t xml:space="preserve"> </w:t>
      </w:r>
      <w:r>
        <w:t xml:space="preserve">traditionally used IM cyanocobalamin 1000 μg</w:t>
      </w:r>
      <w:r>
        <w:t xml:space="preserve"> </w:t>
      </w:r>
      <w:r>
        <w:rPr>
          <w:i/>
          <w:iCs/>
        </w:rPr>
        <w:t xml:space="preserve">daily for 10 days</w:t>
      </w:r>
      <w:r>
        <w:t xml:space="preserve">, then weekly for a month, then monthly</w:t>
      </w:r>
      <w:hyperlink r:id="rId191">
        <w:r>
          <w:rPr>
            <w:rStyle w:val="Hyperlink"/>
          </w:rPr>
          <w:t xml:space="preserve">[168]</w:t>
        </w:r>
      </w:hyperlink>
      <w:r>
        <w:t xml:space="preserve">. But recently, a French expert group (“CARE B12”) has developed an effective oral regimen even for pernicious anemia: they published on high-dose oral cyanocobalamin treating PA patients successfully</w:t>
      </w:r>
      <w:hyperlink r:id="rId192">
        <w:r>
          <w:rPr>
            <w:rStyle w:val="Hyperlink"/>
          </w:rPr>
          <w:t xml:space="preserve">[169]</w:t>
        </w:r>
      </w:hyperlink>
      <w:r>
        <w:t xml:space="preserve">. So French practice is evolving to include oral for those who prefer it, with many still doing initial IM for severe cases.</w:t>
      </w:r>
    </w:p>
    <w:p>
      <w:pPr>
        <w:numPr>
          <w:ilvl w:val="0"/>
          <w:numId w:val="1006"/>
        </w:numPr>
      </w:pPr>
      <w:r>
        <w:rPr>
          <w:b/>
          <w:bCs/>
        </w:rPr>
        <w:t xml:space="preserve">Nordic countries</w:t>
      </w:r>
      <w:r>
        <w:t xml:space="preserve"> </w:t>
      </w:r>
      <w:r>
        <w:t xml:space="preserve">(e.g. Sweden, Denmark): The Nordic consensus on nutrition (NNR 2023) acknowledges B12 issues especially in the elderly. A Scandinavian pragmatic trial (BMJ Open 2020, OB12) provided local evidence that oral is as good as IM</w:t>
      </w:r>
      <w:hyperlink r:id="rId151">
        <w:r>
          <w:rPr>
            <w:rStyle w:val="Hyperlink"/>
          </w:rPr>
          <w:t xml:space="preserve">[128]</w:t>
        </w:r>
      </w:hyperlink>
      <w:r>
        <w:t xml:space="preserve">. Thus, countries like Sweden often allow oral B12 for maintenance. In Sweden, hydroxocobalamin IM is available; many patients are started on IM then maintained on oral if possible. Finland’s Current Care Guidelines endorse treating mild cases with oral and severe with IM. The</w:t>
      </w:r>
      <w:r>
        <w:t xml:space="preserve"> </w:t>
      </w:r>
      <w:r>
        <w:rPr>
          <w:b/>
          <w:bCs/>
        </w:rPr>
        <w:t xml:space="preserve">Nordic scoping review (2019)</w:t>
      </w:r>
      <w:r>
        <w:t xml:space="preserve"> </w:t>
      </w:r>
      <w:r>
        <w:t xml:space="preserve">also highlighted that even moderate deficiency has health effects and should be corrected, implying a proactive stance</w:t>
      </w:r>
      <w:hyperlink r:id="rId193">
        <w:r>
          <w:rPr>
            <w:rStyle w:val="Hyperlink"/>
          </w:rPr>
          <w:t xml:space="preserve">[170]</w:t>
        </w:r>
      </w:hyperlink>
      <w:r>
        <w:t xml:space="preserve">.</w:t>
      </w:r>
    </w:p>
    <w:p>
      <w:pPr>
        <w:numPr>
          <w:ilvl w:val="0"/>
          <w:numId w:val="1006"/>
        </w:numPr>
      </w:pPr>
      <w:r>
        <w:rPr>
          <w:b/>
          <w:bCs/>
        </w:rPr>
        <w:t xml:space="preserve">Brazil and Latin America:</w:t>
      </w:r>
      <w:r>
        <w:t xml:space="preserve"> </w:t>
      </w:r>
      <w:r>
        <w:t xml:space="preserve">No singular Brazilian guideline was referenced in the question, but local practices can be inferred. Brazil has no national standardized B12 guideline as of recent surveys</w:t>
      </w:r>
      <w:hyperlink r:id="rId194">
        <w:r>
          <w:rPr>
            <w:rStyle w:val="Hyperlink"/>
          </w:rPr>
          <w:t xml:space="preserve">[171]</w:t>
        </w:r>
      </w:hyperlink>
      <w:r>
        <w:t xml:space="preserve">. Typically, Brazilian clinicians follow similar practices to Europe/U.S. Many use IM cyanocobalamin (as hydroxocobalamin may not be widely available). Public health programs in some Latin American countries monitor for anemia and nutritional deficiencies</w:t>
      </w:r>
      <w:hyperlink r:id="rId194">
        <w:r>
          <w:rPr>
            <w:rStyle w:val="Hyperlink"/>
          </w:rPr>
          <w:t xml:space="preserve">[171]</w:t>
        </w:r>
      </w:hyperlink>
      <w:r>
        <w:t xml:space="preserve">, and there have been fortification discussions (some countries fortify foods with folic acid but not B12). A review of Latin American data noted a considerable prevalence of B12 deficiency among older adults in countries like Colombia and Mexico</w:t>
      </w:r>
      <w:hyperlink r:id="rId195">
        <w:r>
          <w:rPr>
            <w:rStyle w:val="Hyperlink"/>
          </w:rPr>
          <w:t xml:space="preserve">[172]</w:t>
        </w:r>
      </w:hyperlink>
      <w:r>
        <w:t xml:space="preserve">. In Brazil, as elsewhere, pernicious anemia is treated with parenteral B12 for life. Oral supplementation is used for less severe cases or maintenance if the patient can afford it (since high-dose B12 pills might be OTC and not covered). The local consensus is generally aligned with international evidence. Physicians in resource-limited settings might lean on periodic injections given the guaranteed delivery and possibly better compliance than expecting daily pill use. There is also growing interest in making oral B12 more utilized to reduce healthcare visits. In summary, Brazilian practice “aligns with global standards”</w:t>
      </w:r>
      <w:hyperlink r:id="rId194">
        <w:r>
          <w:rPr>
            <w:rStyle w:val="Hyperlink"/>
          </w:rPr>
          <w:t xml:space="preserve">[171]</w:t>
        </w:r>
      </w:hyperlink>
      <w:r>
        <w:t xml:space="preserve">, meaning IM for malabsorption and acceptance of oral routes when appropriate.</w:t>
      </w:r>
    </w:p>
    <w:p>
      <w:pPr>
        <w:numPr>
          <w:ilvl w:val="0"/>
          <w:numId w:val="1006"/>
        </w:numPr>
      </w:pPr>
      <w:r>
        <w:rPr>
          <w:b/>
          <w:bCs/>
        </w:rPr>
        <w:t xml:space="preserve">Japan:</w:t>
      </w:r>
      <w:r>
        <w:t xml:space="preserve"> </w:t>
      </w:r>
      <w:r>
        <w:t xml:space="preserve">Japan historically had a higher lower-limit for normal B12 level (~500 pg/mL) compared to Western labs</w:t>
      </w:r>
      <w:hyperlink r:id="rId196">
        <w:r>
          <w:rPr>
            <w:rStyle w:val="Hyperlink"/>
          </w:rPr>
          <w:t xml:space="preserve">[173]</w:t>
        </w:r>
      </w:hyperlink>
      <w:r>
        <w:t xml:space="preserve">. Japanese physicians have long recognized “low-normal” B12 can cause neuropsychiatric issues, hence they treat more aggressively. Japan commonly uses</w:t>
      </w:r>
      <w:r>
        <w:t xml:space="preserve"> </w:t>
      </w:r>
      <w:r>
        <w:rPr>
          <w:b/>
          <w:bCs/>
        </w:rPr>
        <w:t xml:space="preserve">methylcobalamin injections</w:t>
      </w:r>
      <w:r>
        <w:t xml:space="preserve"> </w:t>
      </w:r>
      <w:r>
        <w:t xml:space="preserve">(typically 500 μg 3 times a week for 4–6 weeks for neurological cases, according to some sources)</w:t>
      </w:r>
      <w:hyperlink r:id="rId197">
        <w:r>
          <w:rPr>
            <w:rStyle w:val="Hyperlink"/>
          </w:rPr>
          <w:t xml:space="preserve">[174]</w:t>
        </w:r>
      </w:hyperlink>
      <w:r>
        <w:t xml:space="preserve">. Oral B12 is also used, but injections are very common in practice (partly cultural expectations). A Japanese review in 2020 described that high-dose oral (2,000 μg) is effective even in “Biermer’s disease” (pernicious anemia)</w:t>
      </w:r>
      <w:hyperlink r:id="rId192">
        <w:r>
          <w:rPr>
            <w:rStyle w:val="Hyperlink"/>
          </w:rPr>
          <w:t xml:space="preserve">[169]</w:t>
        </w:r>
      </w:hyperlink>
      <w:r>
        <w:t xml:space="preserve">, and researchers have developed protocols for oral treatment in such cases. So Japan does utilize oral therapy, but many clinicians continue to favor injections for definitive treatment. Japan’s guidelines for nutritional management (JSH, etc.) would treat B12 deficiency by initial injections (daily or every other day MeCbl) until symptoms resolve, then monthly IM or daily oral for maintenance. Japanese studies also contributed to evidence that early treatment yields better cognitive outcomes, reinforcing not to wait if B12 is borderline but patient is symptomatic. Overall, Japanese practice is in line with Western practice in dosing; just the preferred form is often MeCbl and they are more inclined to treat at higher B12 thresholds to protect neurologic function</w:t>
      </w:r>
      <w:hyperlink r:id="rId196">
        <w:r>
          <w:rPr>
            <w:rStyle w:val="Hyperlink"/>
          </w:rPr>
          <w:t xml:space="preserve">[173]</w:t>
        </w:r>
      </w:hyperlink>
      <w:r>
        <w:t xml:space="preserve">.</w:t>
      </w:r>
    </w:p>
    <w:bookmarkEnd w:id="198"/>
    <w:bookmarkStart w:id="201" w:name="X33dc37d10161b7b326afa6268b0dd4100bac65c"/>
    <w:p>
      <w:pPr>
        <w:pStyle w:val="Heading3"/>
      </w:pPr>
      <w:r>
        <w:t xml:space="preserve">Gastric Cancer Surveillance in Pernicious Anemia (OLGA/OLGIM Protocols)</w:t>
      </w:r>
    </w:p>
    <w:p>
      <w:pPr>
        <w:pStyle w:val="FirstParagraph"/>
      </w:pPr>
      <w:r>
        <w:t xml:space="preserve">Patients with pernicious anemia (autoimmune gastritis) have an elevated risk of gastric carcinoid tumors (type I gastric neuroendocrine tumors due to ECL cell hyperplasia from achlorhydria) and gastric adenocarcinoma. Chronic atrophic gastritis in the gastric body, especially with intestinal metaplasia, is a premalignant condition. To address this, gastroenterology guidelines have established the</w:t>
      </w:r>
      <w:r>
        <w:t xml:space="preserve"> </w:t>
      </w:r>
      <w:r>
        <w:rPr>
          <w:b/>
          <w:bCs/>
        </w:rPr>
        <w:t xml:space="preserve">OLGA</w:t>
      </w:r>
      <w:r>
        <w:t xml:space="preserve"> </w:t>
      </w:r>
      <w:r>
        <w:t xml:space="preserve">(Operative Link on Gastritis Assessment) and</w:t>
      </w:r>
      <w:r>
        <w:t xml:space="preserve"> </w:t>
      </w:r>
      <w:r>
        <w:rPr>
          <w:b/>
          <w:bCs/>
        </w:rPr>
        <w:t xml:space="preserve">OLGIM</w:t>
      </w:r>
      <w:r>
        <w:t xml:space="preserve"> </w:t>
      </w:r>
      <w:r>
        <w:t xml:space="preserve">(Operative Link on Gastric Intestinal Metaplasia) staging systems to stratify gastric cancer risk based on biopsy findings of atrophy and metaplasia.</w:t>
      </w:r>
    </w:p>
    <w:p>
      <w:pPr>
        <w:pStyle w:val="BodyText"/>
      </w:pPr>
      <w:r>
        <w:rPr>
          <w:b/>
          <w:bCs/>
        </w:rPr>
        <w:t xml:space="preserve">OLGA Staging:</w:t>
      </w:r>
      <w:r>
        <w:t xml:space="preserve"> </w:t>
      </w:r>
      <w:r>
        <w:t xml:space="preserve">This system stages gastritis 0 to IV by combining the severity (mild/moderate/marked atrophy) and extent (antral vs corpus) of gastric atrophy on biopsies</w:t>
      </w:r>
      <w:hyperlink r:id="rId81">
        <w:r>
          <w:rPr>
            <w:rStyle w:val="Hyperlink"/>
          </w:rPr>
          <w:t xml:space="preserve">[175]</w:t>
        </w:r>
      </w:hyperlink>
      <w:hyperlink r:id="rId88">
        <w:r>
          <w:rPr>
            <w:rStyle w:val="Hyperlink"/>
          </w:rPr>
          <w:t xml:space="preserve">[70]</w:t>
        </w:r>
      </w:hyperlink>
      <w:r>
        <w:t xml:space="preserve">. Similarly, OLGIM stages for intestinal metaplasia distribution. Essentially:</w:t>
      </w:r>
      <w:r>
        <w:t xml:space="preserve"> </w:t>
      </w:r>
      <w:r>
        <w:t xml:space="preserve">- Stage 0–II (mild changes or limited to either antrum or body) carry low risk of progression.</w:t>
      </w:r>
      <w:r>
        <w:t xml:space="preserve"> </w:t>
      </w:r>
      <w:r>
        <w:t xml:space="preserve">- Stage III–IV (advanced atrophy/metaplasia in both antrum and corpus) carry high risk of gastric cancer</w:t>
      </w:r>
      <w:hyperlink r:id="rId88">
        <w:r>
          <w:rPr>
            <w:rStyle w:val="Hyperlink"/>
          </w:rPr>
          <w:t xml:space="preserve">[70]</w:t>
        </w:r>
      </w:hyperlink>
      <w:r>
        <w:t xml:space="preserve">.</w:t>
      </w:r>
    </w:p>
    <w:p>
      <w:pPr>
        <w:pStyle w:val="BodyText"/>
      </w:pPr>
      <w:r>
        <w:t xml:space="preserve">For pernicious anemia, the gastritis is primarily in the corpus/fundus (often sparing the antrum). Many PA patients will have at least some intestinal metaplasia in the body. Studies indicate the risk of gastric adenocarcinoma in PA is about 2–3 times that of the general population, and the risk of type I gastric carcinoids is significantly elevated (some studies showing up to 5–10% of PA patients develop gastric carcinoids over their lifetime)</w:t>
      </w:r>
      <w:hyperlink r:id="rId81">
        <w:r>
          <w:rPr>
            <w:rStyle w:val="Hyperlink"/>
          </w:rPr>
          <w:t xml:space="preserve">[62]</w:t>
        </w:r>
      </w:hyperlink>
      <w:r>
        <w:t xml:space="preserve">.</w:t>
      </w:r>
    </w:p>
    <w:p>
      <w:pPr>
        <w:pStyle w:val="BodyText"/>
      </w:pPr>
      <w:r>
        <w:rPr>
          <w:b/>
          <w:bCs/>
        </w:rPr>
        <w:t xml:space="preserve">Guideline Recommendations:</w:t>
      </w:r>
      <w:r>
        <w:t xml:space="preserve"> </w:t>
      </w:r>
      <w:r>
        <w:t xml:space="preserve">The MAPS (Management of precancerous conditions and lesions in the stomach) international guideline (2019) and others suggest:</w:t>
      </w:r>
      <w:r>
        <w:t xml:space="preserve"> </w:t>
      </w:r>
      <w:r>
        <w:t xml:space="preserve">-</w:t>
      </w:r>
      <w:r>
        <w:t xml:space="preserve"> </w:t>
      </w:r>
      <w:r>
        <w:rPr>
          <w:b/>
          <w:bCs/>
        </w:rPr>
        <w:t xml:space="preserve">Baseline endoscopy with biopsies</w:t>
      </w:r>
      <w:r>
        <w:t xml:space="preserve"> </w:t>
      </w:r>
      <w:r>
        <w:t xml:space="preserve">for all patients with confirmed pernicious anemia (autoimmune gastritis) at diagnosis</w:t>
      </w:r>
      <w:hyperlink r:id="rId81">
        <w:r>
          <w:rPr>
            <w:rStyle w:val="Hyperlink"/>
          </w:rPr>
          <w:t xml:space="preserve">[62]</w:t>
        </w:r>
      </w:hyperlink>
      <w:hyperlink r:id="rId88">
        <w:r>
          <w:rPr>
            <w:rStyle w:val="Hyperlink"/>
          </w:rPr>
          <w:t xml:space="preserve">[70]</w:t>
        </w:r>
      </w:hyperlink>
      <w:r>
        <w:t xml:space="preserve">. The endoscopy should use the</w:t>
      </w:r>
      <w:r>
        <w:t xml:space="preserve"> </w:t>
      </w:r>
      <w:r>
        <w:rPr>
          <w:b/>
          <w:bCs/>
        </w:rPr>
        <w:t xml:space="preserve">Sydney protocol</w:t>
      </w:r>
      <w:r>
        <w:t xml:space="preserve">: taking at least 5 biopsies (from the antrum – lesser and greater curvature, incisura angularis, and from the corpus – lesser and greater curvature) to assess atrophy and metaplasia extent</w:t>
      </w:r>
      <w:hyperlink r:id="rId199">
        <w:r>
          <w:rPr>
            <w:rStyle w:val="Hyperlink"/>
          </w:rPr>
          <w:t xml:space="preserve">[176]</w:t>
        </w:r>
      </w:hyperlink>
      <w:r>
        <w:t xml:space="preserve">. This mapping allows OLGA/OLGIM staging.</w:t>
      </w:r>
      <w:r>
        <w:t xml:space="preserve"> </w:t>
      </w:r>
      <w:r>
        <w:t xml:space="preserve">- If OLGA/OLGIM stage is III or IV (significant atrophy/metaplasia),</w:t>
      </w:r>
      <w:r>
        <w:t xml:space="preserve"> </w:t>
      </w:r>
      <w:r>
        <w:rPr>
          <w:b/>
          <w:bCs/>
        </w:rPr>
        <w:t xml:space="preserve">surveillance endoscopy every 3 years</w:t>
      </w:r>
      <w:r>
        <w:t xml:space="preserve"> </w:t>
      </w:r>
      <w:r>
        <w:t xml:space="preserve">is often recommended</w:t>
      </w:r>
      <w:hyperlink r:id="rId88">
        <w:r>
          <w:rPr>
            <w:rStyle w:val="Hyperlink"/>
          </w:rPr>
          <w:t xml:space="preserve">[70]</w:t>
        </w:r>
      </w:hyperlink>
      <w:r>
        <w:t xml:space="preserve">. Some guidelines even say every 1–2 years if stage IV, given the high risk. For PA, even if only corpus is affected (body-limited atrophy), many experts still do periodic endoscopy because multiple biopsies in the body are needed to detect dysplasia or carcinoid. The presence of intestinal metaplasia (OLGIM) in the body or antrum increases cancer risk further and warrants closer observation.</w:t>
      </w:r>
      <w:r>
        <w:t xml:space="preserve"> </w:t>
      </w:r>
      <w:r>
        <w:t xml:space="preserve">- If only mild atrophy (Stage I–II) and no intestinal metaplasia, some guidelines say routine surveillance may not be necessary, or maybe one repeat endoscopy in 5 years. However,</w:t>
      </w:r>
      <w:r>
        <w:t xml:space="preserve"> </w:t>
      </w:r>
      <w:r>
        <w:rPr>
          <w:b/>
          <w:bCs/>
        </w:rPr>
        <w:t xml:space="preserve">NICE 2024</w:t>
      </w:r>
      <w:r>
        <w:t xml:space="preserve"> </w:t>
      </w:r>
      <w:r>
        <w:t xml:space="preserve">explicitly advises monitoring for gastric cancer in people with autoimmune gastritis, reflecting a cautious approach</w:t>
      </w:r>
      <w:hyperlink r:id="rId125">
        <w:r>
          <w:rPr>
            <w:rStyle w:val="Hyperlink"/>
          </w:rPr>
          <w:t xml:space="preserve">[103]</w:t>
        </w:r>
      </w:hyperlink>
      <w:hyperlink r:id="rId126">
        <w:r>
          <w:rPr>
            <w:rStyle w:val="Hyperlink"/>
          </w:rPr>
          <w:t xml:space="preserve">[104]</w:t>
        </w:r>
      </w:hyperlink>
      <w:r>
        <w:t xml:space="preserve">. NICE recommends offering endoscopic surveillance even for pernicious anemia patients, though the exact interval can be individualized.</w:t>
      </w:r>
      <w:r>
        <w:t xml:space="preserve"> </w:t>
      </w:r>
      <w:r>
        <w:t xml:space="preserve">-</w:t>
      </w:r>
      <w:r>
        <w:t xml:space="preserve"> </w:t>
      </w:r>
      <w:r>
        <w:rPr>
          <w:b/>
          <w:bCs/>
        </w:rPr>
        <w:t xml:space="preserve">Type I Carcinoids:</w:t>
      </w:r>
      <w:r>
        <w:t xml:space="preserve"> </w:t>
      </w:r>
      <w:r>
        <w:t xml:space="preserve">These are small neuroendocrine tumors arising in the background of autoimmune gastritis due to achlorhydria-induced hypergastrinemia. Surveillance endoscopy is meant to also look for these. If found, management is usually endoscopic removal of lesions &gt;5 mm and monitoring. Guidelines often advise that all new autoimmune gastritis patients get an endoscopy to</w:t>
      </w:r>
      <w:r>
        <w:t xml:space="preserve"> </w:t>
      </w:r>
      <w:r>
        <w:rPr>
          <w:i/>
          <w:iCs/>
        </w:rPr>
        <w:t xml:space="preserve">screen for neuroendocrine tumors (NETs)</w:t>
      </w:r>
      <w:r>
        <w:t xml:space="preserve">, since up to 5-10% have them at diagnosis</w:t>
      </w:r>
      <w:hyperlink r:id="rId81">
        <w:r>
          <w:rPr>
            <w:rStyle w:val="Hyperlink"/>
          </w:rPr>
          <w:t xml:space="preserve">[62]</w:t>
        </w:r>
      </w:hyperlink>
      <w:hyperlink r:id="rId88">
        <w:r>
          <w:rPr>
            <w:rStyle w:val="Hyperlink"/>
          </w:rPr>
          <w:t xml:space="preserve">[70]</w:t>
        </w:r>
      </w:hyperlink>
      <w:r>
        <w:t xml:space="preserve">. Small (&lt;1 cm) type I carcinoids can just be removed endoscopically and then follow-up in 1–2 years to check for recurrence</w:t>
      </w:r>
      <w:hyperlink r:id="rId200">
        <w:r>
          <w:rPr>
            <w:rStyle w:val="Hyperlink"/>
          </w:rPr>
          <w:t xml:space="preserve">[177]</w:t>
        </w:r>
      </w:hyperlink>
      <w:hyperlink r:id="rId91">
        <w:r>
          <w:rPr>
            <w:rStyle w:val="Hyperlink"/>
          </w:rPr>
          <w:t xml:space="preserve">[73]</w:t>
        </w:r>
      </w:hyperlink>
      <w:r>
        <w:t xml:space="preserve">.</w:t>
      </w:r>
      <w:r>
        <w:t xml:space="preserve"> </w:t>
      </w:r>
      <w:r>
        <w:t xml:space="preserve">-</w:t>
      </w:r>
      <w:r>
        <w:t xml:space="preserve"> </w:t>
      </w:r>
      <w:r>
        <w:rPr>
          <w:b/>
          <w:bCs/>
        </w:rPr>
        <w:t xml:space="preserve">Protocol specifics:</w:t>
      </w:r>
      <w:r>
        <w:t xml:space="preserve"> </w:t>
      </w:r>
      <w:r>
        <w:t xml:space="preserve">One proposed plan is:</w:t>
      </w:r>
      <w:r>
        <w:t xml:space="preserve"> </w:t>
      </w:r>
      <w:r>
        <w:t xml:space="preserve">- At</w:t>
      </w:r>
      <w:r>
        <w:t xml:space="preserve"> </w:t>
      </w:r>
      <w:r>
        <w:rPr>
          <w:b/>
          <w:bCs/>
        </w:rPr>
        <w:t xml:space="preserve">diagnosis</w:t>
      </w:r>
      <w:r>
        <w:t xml:space="preserve"> </w:t>
      </w:r>
      <w:r>
        <w:t xml:space="preserve">of pernicious anemia: do an upper endoscopy with high-definition imaging (with chromoendoscopy or narrow-band imaging if available to detect subtle lesions) and take systematic biopsies (per Sydney system)</w:t>
      </w:r>
      <w:hyperlink r:id="rId200">
        <w:r>
          <w:rPr>
            <w:rStyle w:val="Hyperlink"/>
          </w:rPr>
          <w:t xml:space="preserve">[177]</w:t>
        </w:r>
      </w:hyperlink>
      <w:r>
        <w:t xml:space="preserve">. Test for</w:t>
      </w:r>
      <w:r>
        <w:t xml:space="preserve"> </w:t>
      </w:r>
      <w:r>
        <w:rPr>
          <w:i/>
          <w:iCs/>
        </w:rPr>
        <w:t xml:space="preserve">H. pylori</w:t>
      </w:r>
      <w:r>
        <w:t xml:space="preserve"> </w:t>
      </w:r>
      <w:r>
        <w:t xml:space="preserve">as well on biopsies, because if</w:t>
      </w:r>
      <w:r>
        <w:t xml:space="preserve"> </w:t>
      </w:r>
      <w:r>
        <w:rPr>
          <w:i/>
          <w:iCs/>
        </w:rPr>
        <w:t xml:space="preserve">H. pylori</w:t>
      </w:r>
      <w:r>
        <w:t xml:space="preserve"> </w:t>
      </w:r>
      <w:r>
        <w:t xml:space="preserve">is present (which is less common in true PA, but possible), eradicating it can slow progression of gastritis.</w:t>
      </w:r>
      <w:r>
        <w:t xml:space="preserve"> </w:t>
      </w:r>
      <w:r>
        <w:t xml:space="preserve">- If biopsies show</w:t>
      </w:r>
      <w:r>
        <w:t xml:space="preserve"> </w:t>
      </w:r>
      <w:r>
        <w:rPr>
          <w:b/>
          <w:bCs/>
        </w:rPr>
        <w:t xml:space="preserve">dysplasia</w:t>
      </w:r>
      <w:r>
        <w:t xml:space="preserve"> </w:t>
      </w:r>
      <w:r>
        <w:t xml:space="preserve">or carcinoma in situ, treat accordingly (endoscopic resection or surgery).</w:t>
      </w:r>
      <w:r>
        <w:t xml:space="preserve"> </w:t>
      </w:r>
      <w:r>
        <w:t xml:space="preserve">- If biopsies show</w:t>
      </w:r>
      <w:r>
        <w:t xml:space="preserve"> </w:t>
      </w:r>
      <w:r>
        <w:rPr>
          <w:b/>
          <w:bCs/>
        </w:rPr>
        <w:t xml:space="preserve">neuroendocrine tumors</w:t>
      </w:r>
      <w:r>
        <w:t xml:space="preserve"> </w:t>
      </w:r>
      <w:r>
        <w:t xml:space="preserve">(carcinoids), manage as above (resect small lesions, survey).</w:t>
      </w:r>
      <w:r>
        <w:t xml:space="preserve"> </w:t>
      </w:r>
      <w:r>
        <w:t xml:space="preserve">- If OLGA/OLGIM stage III/IV (or any dysplasia): do surveillance endoscopy every 1–2 years. Some suggest Stage IV should be every 1 year, Stage III every 2–3 years.</w:t>
      </w:r>
      <w:r>
        <w:t xml:space="preserve"> </w:t>
      </w:r>
      <w:r>
        <w:t xml:space="preserve">- If stage I–II and no dysplasia, one might do a follow-up endoscopy in 3–5 years, or possibly none if the patient is older and risks outweigh benefits. However, pernicious anemia patients essentially all have some risk because they inevitably have corpus atrophy (often moderate to severe = Stage II or III just in body). Thus many clinicians err on periodic checks even if guidelines aren’t strict for low stages.</w:t>
      </w:r>
      <w:r>
        <w:t xml:space="preserve"> </w:t>
      </w:r>
      <w:r>
        <w:t xml:space="preserve">-</w:t>
      </w:r>
      <w:r>
        <w:t xml:space="preserve"> </w:t>
      </w:r>
      <w:r>
        <w:rPr>
          <w:b/>
          <w:bCs/>
        </w:rPr>
        <w:t xml:space="preserve">Bone and other screenings:</w:t>
      </w:r>
      <w:r>
        <w:t xml:space="preserve"> </w:t>
      </w:r>
      <w:r>
        <w:t xml:space="preserve">Additionally, pernicious anemia patients should be monitored for</w:t>
      </w:r>
      <w:r>
        <w:t xml:space="preserve"> </w:t>
      </w:r>
      <w:r>
        <w:rPr>
          <w:b/>
          <w:bCs/>
        </w:rPr>
        <w:t xml:space="preserve">bone density</w:t>
      </w:r>
      <w:r>
        <w:t xml:space="preserve"> </w:t>
      </w:r>
      <w:r>
        <w:t xml:space="preserve">due to osteoporosis risk (as discussed), and some advocate checking for other autoimmune conditions periodically (like thyroid function tests, etc., since associations are high).</w:t>
      </w:r>
    </w:p>
    <w:p>
      <w:pPr>
        <w:pStyle w:val="BodyText"/>
      </w:pPr>
      <w:r>
        <w:t xml:space="preserve">In essence,</w:t>
      </w:r>
      <w:r>
        <w:t xml:space="preserve"> </w:t>
      </w:r>
      <w:r>
        <w:rPr>
          <w:b/>
          <w:bCs/>
        </w:rPr>
        <w:t xml:space="preserve">OLGA/OLGIM staging</w:t>
      </w:r>
      <w:r>
        <w:t xml:space="preserve"> </w:t>
      </w:r>
      <w:r>
        <w:t xml:space="preserve">is a tool to guide how aggressively to monitor pernicious anemia patients for gastric malignancies. Autoimmune gastritis is essentially a precancerous condition akin to how Barrett’s esophagus is for esophageal cancer – not everyone will progress, but risk is elevated. Adopting a surveillance protocol improves early detection. A recent 2021 study suggested that strict endoscopic surveillance in pernicious anemia leads to detection of early gastric neoplasia at a curable stage</w:t>
      </w:r>
      <w:hyperlink r:id="rId200">
        <w:r>
          <w:rPr>
            <w:rStyle w:val="Hyperlink"/>
          </w:rPr>
          <w:t xml:space="preserve">[177]</w:t>
        </w:r>
      </w:hyperlink>
      <w:r>
        <w:t xml:space="preserve">. Therefore, current consensus is to not ignore the stomach once B12 deficiency is diagnosed: manage the</w:t>
      </w:r>
      <w:r>
        <w:t xml:space="preserve"> </w:t>
      </w:r>
      <w:r>
        <w:rPr>
          <w:i/>
          <w:iCs/>
        </w:rPr>
        <w:t xml:space="preserve">cause</w:t>
      </w:r>
      <w:r>
        <w:t xml:space="preserve">, not just the B12 number. The 2024 NICE guideline dedicates a section to ongoing gastric cancer monitoring in these patients</w:t>
      </w:r>
      <w:hyperlink r:id="rId125">
        <w:r>
          <w:rPr>
            <w:rStyle w:val="Hyperlink"/>
          </w:rPr>
          <w:t xml:space="preserve">[103]</w:t>
        </w:r>
      </w:hyperlink>
      <w:hyperlink r:id="rId126">
        <w:r>
          <w:rPr>
            <w:rStyle w:val="Hyperlink"/>
          </w:rPr>
          <w:t xml:space="preserve">[104]</w:t>
        </w:r>
      </w:hyperlink>
      <w:r>
        <w:t xml:space="preserve">, underscoring its importance.</w:t>
      </w:r>
    </w:p>
    <w:bookmarkEnd w:id="201"/>
    <w:bookmarkEnd w:id="202"/>
    <w:bookmarkStart w:id="207" w:name="conclusion"/>
    <w:p>
      <w:pPr>
        <w:pStyle w:val="Heading2"/>
      </w:pPr>
      <w:r>
        <w:t xml:space="preserve">Conclusion</w:t>
      </w:r>
    </w:p>
    <w:p>
      <w:pPr>
        <w:pStyle w:val="FirstParagraph"/>
      </w:pPr>
      <w:r>
        <w:t xml:space="preserve">Vitamin B12 deficiency in adults is a multifaceted disorder with well-characterized biochemical underpinnings, a broad array of clinical presentations, and significant implications if left untreated. Over the past decade (2010–2025), advances in our understanding and management of this condition include refined diagnostic strategies (holotranscobalamin and MMA improving detection of “subclinical” cases), recognition of shifting etiologies (the predominance of food-cobalamin malabsorption and medication-induced cases over classic pernicious anemia)</w:t>
      </w:r>
      <w:hyperlink r:id="rId49">
        <w:r>
          <w:rPr>
            <w:rStyle w:val="Hyperlink"/>
          </w:rPr>
          <w:t xml:space="preserve">[30]</w:t>
        </w:r>
      </w:hyperlink>
      <w:hyperlink r:id="rId203">
        <w:r>
          <w:rPr>
            <w:rStyle w:val="Hyperlink"/>
          </w:rPr>
          <w:t xml:space="preserve">[178]</w:t>
        </w:r>
      </w:hyperlink>
      <w:r>
        <w:t xml:space="preserve">, and liberalization of treatment approaches (oral high-dose B12 accepted as first-line therapy for many patients)</w:t>
      </w:r>
      <w:hyperlink r:id="rId130">
        <w:r>
          <w:rPr>
            <w:rStyle w:val="Hyperlink"/>
          </w:rPr>
          <w:t xml:space="preserve">[107]</w:t>
        </w:r>
      </w:hyperlink>
      <w:hyperlink r:id="rId131">
        <w:r>
          <w:rPr>
            <w:rStyle w:val="Hyperlink"/>
          </w:rPr>
          <w:t xml:space="preserve">[108]</w:t>
        </w:r>
      </w:hyperlink>
      <w:r>
        <w:t xml:space="preserve">. Major guidelines across the world, from NICE in the UK</w:t>
      </w:r>
      <w:hyperlink r:id="rId140">
        <w:r>
          <w:rPr>
            <w:rStyle w:val="Hyperlink"/>
          </w:rPr>
          <w:t xml:space="preserve">[117]</w:t>
        </w:r>
      </w:hyperlink>
      <w:r>
        <w:t xml:space="preserve"> </w:t>
      </w:r>
      <w:r>
        <w:t xml:space="preserve">to the Delphi consensus in Europe</w:t>
      </w:r>
      <w:hyperlink r:id="rId178">
        <w:r>
          <w:rPr>
            <w:rStyle w:val="Hyperlink"/>
          </w:rPr>
          <w:t xml:space="preserve">[155]</w:t>
        </w:r>
      </w:hyperlink>
      <w:hyperlink r:id="rId143">
        <w:r>
          <w:rPr>
            <w:rStyle w:val="Hyperlink"/>
          </w:rPr>
          <w:t xml:space="preserve">[120]</w:t>
        </w:r>
      </w:hyperlink>
      <w:r>
        <w:t xml:space="preserve"> </w:t>
      </w:r>
      <w:r>
        <w:t xml:space="preserve">and expert recommendations in North America, have converged on a patient-centered approach:</w:t>
      </w:r>
      <w:r>
        <w:t xml:space="preserve"> </w:t>
      </w:r>
      <w:r>
        <w:rPr>
          <w:b/>
          <w:bCs/>
        </w:rPr>
        <w:t xml:space="preserve">identify those at risk, confirm the diagnosis with appropriate biomarkers, and initiate prompt cobalamin replacement tailored to the patient’s needs and preferences</w:t>
      </w:r>
      <w:r>
        <w:t xml:space="preserve">.</w:t>
      </w:r>
    </w:p>
    <w:p>
      <w:pPr>
        <w:pStyle w:val="BodyText"/>
      </w:pPr>
      <w:r>
        <w:t xml:space="preserve">Importantly, the management of B12 deficiency extends beyond normalizing a lab value – it requires vigilance for associated conditions (like gastric cancer in pernicious anemia via OLGA staging</w:t>
      </w:r>
      <w:hyperlink r:id="rId81">
        <w:r>
          <w:rPr>
            <w:rStyle w:val="Hyperlink"/>
          </w:rPr>
          <w:t xml:space="preserve">[62]</w:t>
        </w:r>
      </w:hyperlink>
      <w:r>
        <w:t xml:space="preserve"> </w:t>
      </w:r>
      <w:r>
        <w:t xml:space="preserve">or bone loss via monitoring BMD</w:t>
      </w:r>
      <w:hyperlink r:id="rId81">
        <w:r>
          <w:rPr>
            <w:rStyle w:val="Hyperlink"/>
          </w:rPr>
          <w:t xml:space="preserve">[62]</w:t>
        </w:r>
      </w:hyperlink>
      <w:r>
        <w:t xml:space="preserve">) and coordination of care to address underlying causes (e.g.</w:t>
      </w:r>
      <w:r>
        <w:t xml:space="preserve"> </w:t>
      </w:r>
      <w:r>
        <w:rPr>
          <w:i/>
          <w:iCs/>
        </w:rPr>
        <w:t xml:space="preserve">H. pylori</w:t>
      </w:r>
      <w:r>
        <w:t xml:space="preserve"> </w:t>
      </w:r>
      <w:r>
        <w:t xml:space="preserve">eradication, diet counseling for vegans, or changing a medication contributing to malabsorption). With proper treatment, the prognosis of nutritional B12 deficiency is excellent: hematological abnormalities reverse, and neurologic symptoms improve or resolve in the majority of cases if treated early. However, delays in diagnosis can result in permanent neurological disability, and unrecognized pernicious anemia carries long-term gastric cancer risks. Thus, awareness and education remain critical. Healthcare providers should maintain a high index of suspicion for B12 deficiency, especially in older adults and patients on common drugs like metformin or PPIs, and test accordingly rather than assume symptoms are just “aging” or other issues</w:t>
      </w:r>
      <w:hyperlink r:id="rId204">
        <w:r>
          <w:rPr>
            <w:rStyle w:val="Hyperlink"/>
          </w:rPr>
          <w:t xml:space="preserve">[179]</w:t>
        </w:r>
      </w:hyperlink>
      <w:hyperlink r:id="rId203">
        <w:r>
          <w:rPr>
            <w:rStyle w:val="Hyperlink"/>
          </w:rPr>
          <w:t xml:space="preserve">[178]</w:t>
        </w:r>
      </w:hyperlink>
      <w:r>
        <w:t xml:space="preserve">.</w:t>
      </w:r>
    </w:p>
    <w:p>
      <w:pPr>
        <w:pStyle w:val="BodyText"/>
      </w:pPr>
      <w:r>
        <w:t xml:space="preserve">In terms of research and practice gaps, ongoing discussions include optimal screening strategies (should we routinely check B12 in long-term metformin users? Many say yes</w:t>
      </w:r>
      <w:hyperlink r:id="rId57">
        <w:r>
          <w:rPr>
            <w:rStyle w:val="Hyperlink"/>
          </w:rPr>
          <w:t xml:space="preserve">[39]</w:t>
        </w:r>
      </w:hyperlink>
      <w:hyperlink r:id="rId55">
        <w:r>
          <w:rPr>
            <w:rStyle w:val="Hyperlink"/>
          </w:rPr>
          <w:t xml:space="preserve">[37]</w:t>
        </w:r>
      </w:hyperlink>
      <w:r>
        <w:t xml:space="preserve">), the cost-effectiveness of active B12 vs total B12 testing in primary care, and how to best integrate oral B12 therapy into standard practice (ensuring compliance, etc.). The period 2010–2025 has seen the paradigm shift from an injection-only mindset to one where</w:t>
      </w:r>
      <w:r>
        <w:t xml:space="preserve"> </w:t>
      </w:r>
      <w:r>
        <w:rPr>
          <w:b/>
          <w:bCs/>
        </w:rPr>
        <w:t xml:space="preserve">oral therapy has gained equal footing</w:t>
      </w:r>
      <w:r>
        <w:t xml:space="preserve"> </w:t>
      </w:r>
      <w:r>
        <w:t xml:space="preserve">for maintenance in many parts of the world</w:t>
      </w:r>
      <w:hyperlink r:id="rId130">
        <w:r>
          <w:rPr>
            <w:rStyle w:val="Hyperlink"/>
          </w:rPr>
          <w:t xml:space="preserve">[107]</w:t>
        </w:r>
      </w:hyperlink>
      <w:hyperlink r:id="rId131">
        <w:r>
          <w:rPr>
            <w:rStyle w:val="Hyperlink"/>
          </w:rPr>
          <w:t xml:space="preserve">[108]</w:t>
        </w:r>
      </w:hyperlink>
      <w:r>
        <w:t xml:space="preserve">. This has major implications for patient quality of life and healthcare resource utilization. Additionally, the increasing recognition of</w:t>
      </w:r>
      <w:r>
        <w:t xml:space="preserve"> </w:t>
      </w:r>
      <w:r>
        <w:rPr>
          <w:b/>
          <w:bCs/>
        </w:rPr>
        <w:t xml:space="preserve">pseudo-TTP</w:t>
      </w:r>
      <w:r>
        <w:t xml:space="preserve"> </w:t>
      </w:r>
      <w:r>
        <w:t xml:space="preserve">as a B12-deficiency manifestation has life-saving implications – simply measuring B12 in patients with microangiopathic hemolysis can prevent misdiagnosis and intensive therapies</w:t>
      </w:r>
      <w:hyperlink r:id="rId90">
        <w:r>
          <w:rPr>
            <w:rStyle w:val="Hyperlink"/>
          </w:rPr>
          <w:t xml:space="preserve">[72]</w:t>
        </w:r>
      </w:hyperlink>
      <w:hyperlink r:id="rId91">
        <w:r>
          <w:rPr>
            <w:rStyle w:val="Hyperlink"/>
          </w:rPr>
          <w:t xml:space="preserve">[73]</w:t>
        </w:r>
      </w:hyperlink>
      <w:r>
        <w:t xml:space="preserve">.</w:t>
      </w:r>
    </w:p>
    <w:p>
      <w:pPr>
        <w:pStyle w:val="BodyText"/>
      </w:pPr>
      <w:r>
        <w:t xml:space="preserve">In conclusion, vitamin B12 deficiency is an “old” disorder that continues to pose new challenges, but with the application of current knowledge – from biochemical diagnostics to global best practices in treatment – clinicians can effectively diagnose, treat, and monitor this condition, preventing its serious consequences. The key is to</w:t>
      </w:r>
      <w:r>
        <w:t xml:space="preserve"> </w:t>
      </w:r>
      <w:r>
        <w:rPr>
          <w:b/>
          <w:bCs/>
        </w:rPr>
        <w:t xml:space="preserve">think B12</w:t>
      </w:r>
      <w:r>
        <w:t xml:space="preserve">: consider it in differential diagnoses liberally, confirm it accurately, and treat it completely. In doing so, we can ensure that this common and treatable deficiency remains a triumph of modern medicine rather than a missed opportunity.</w:t>
      </w:r>
    </w:p>
    <w:p>
      <w:pPr>
        <w:pStyle w:val="BodyText"/>
      </w:pPr>
      <w:r>
        <w:rPr>
          <w:b/>
          <w:bCs/>
        </w:rPr>
        <w:t xml:space="preserve">References:</w:t>
      </w:r>
      <w:r>
        <w:t xml:space="preserve"> </w:t>
      </w:r>
      <w:r>
        <w:t xml:space="preserve">(Key sources are indicated in text by numbered citations)</w:t>
      </w:r>
    </w:p>
    <w:p>
      <w:pPr>
        <w:pStyle w:val="BodyText"/>
      </w:pPr>
      <w:r>
        <w:t xml:space="preserve">【21】 B. Bostock,</w:t>
      </w:r>
      <w:r>
        <w:t xml:space="preserve"> </w:t>
      </w:r>
      <w:r>
        <w:rPr>
          <w:i/>
          <w:iCs/>
        </w:rPr>
        <w:t xml:space="preserve">Practice Nurse</w:t>
      </w:r>
      <w:r>
        <w:t xml:space="preserve"> </w:t>
      </w:r>
      <w:r>
        <w:t xml:space="preserve">52(7):8–11 (2022) – “B12 deficiency and replacement in general practice” (UK summary of prevalence, causes, and treatment approaches)</w:t>
      </w:r>
      <w:hyperlink r:id="rId102">
        <w:r>
          <w:rPr>
            <w:rStyle w:val="Hyperlink"/>
          </w:rPr>
          <w:t xml:space="preserve">[82]</w:t>
        </w:r>
      </w:hyperlink>
      <w:hyperlink r:id="rId140">
        <w:r>
          <w:rPr>
            <w:rStyle w:val="Hyperlink"/>
          </w:rPr>
          <w:t xml:space="preserve">[117]</w:t>
        </w:r>
      </w:hyperlink>
      <w:r>
        <w:t xml:space="preserve">.</w:t>
      </w:r>
      <w:r>
        <w:br/>
      </w:r>
      <w:r>
        <w:t xml:space="preserve">【22】 B. Bostock,</w:t>
      </w:r>
      <w:r>
        <w:t xml:space="preserve"> </w:t>
      </w:r>
      <w:r>
        <w:rPr>
          <w:i/>
          <w:iCs/>
        </w:rPr>
        <w:t xml:space="preserve">Practice Nurse</w:t>
      </w:r>
      <w:r>
        <w:t xml:space="preserve"> </w:t>
      </w:r>
      <w:r>
        <w:t xml:space="preserve">52(7):8–11 (2022) – Treatment approaches and NICE recommendations summary</w:t>
      </w:r>
      <w:hyperlink r:id="rId140">
        <w:r>
          <w:rPr>
            <w:rStyle w:val="Hyperlink"/>
          </w:rPr>
          <w:t xml:space="preserve">[117]</w:t>
        </w:r>
      </w:hyperlink>
      <w:hyperlink r:id="rId146">
        <w:r>
          <w:rPr>
            <w:rStyle w:val="Hyperlink"/>
          </w:rPr>
          <w:t xml:space="preserve">[122]</w:t>
        </w:r>
      </w:hyperlink>
      <w:r>
        <w:t xml:space="preserve">.</w:t>
      </w:r>
      <w:r>
        <w:br/>
      </w:r>
      <w:r>
        <w:t xml:space="preserve">【23】 R. Obeid et al.,</w:t>
      </w:r>
      <w:r>
        <w:t xml:space="preserve"> </w:t>
      </w:r>
      <w:r>
        <w:rPr>
          <w:i/>
          <w:iCs/>
        </w:rPr>
        <w:t xml:space="preserve">J. Clin. Med.</w:t>
      </w:r>
      <w:r>
        <w:t xml:space="preserve"> </w:t>
      </w:r>
      <w:r>
        <w:t xml:space="preserve">13(8):2176 (2024) – Delphi Expert Consensus on B12 management (international panel)</w:t>
      </w:r>
      <w:hyperlink r:id="rId130">
        <w:r>
          <w:rPr>
            <w:rStyle w:val="Hyperlink"/>
          </w:rPr>
          <w:t xml:space="preserve">[107]</w:t>
        </w:r>
      </w:hyperlink>
      <w:hyperlink r:id="rId135">
        <w:r>
          <w:rPr>
            <w:rStyle w:val="Hyperlink"/>
          </w:rPr>
          <w:t xml:space="preserve">[112]</w:t>
        </w:r>
      </w:hyperlink>
      <w:r>
        <w:t xml:space="preserve">.</w:t>
      </w:r>
      <w:r>
        <w:br/>
      </w:r>
      <w:r>
        <w:t xml:space="preserve">【32】 Reddit/r/vegan discussion quoting Stabler &amp; Allen (2004) and others – clarifying that methyl- and adenosyl-cobalamin from supplements are converted to core cobalamin inside cells</w:t>
      </w:r>
      <w:hyperlink r:id="rId205">
        <w:r>
          <w:rPr>
            <w:rStyle w:val="Hyperlink"/>
          </w:rPr>
          <w:t xml:space="preserve">[180]</w:t>
        </w:r>
      </w:hyperlink>
      <w:hyperlink r:id="rId29">
        <w:r>
          <w:rPr>
            <w:rStyle w:val="Hyperlink"/>
          </w:rPr>
          <w:t xml:space="preserve">[9]</w:t>
        </w:r>
      </w:hyperlink>
      <w:r>
        <w:t xml:space="preserve">.</w:t>
      </w:r>
      <w:r>
        <w:br/>
      </w:r>
      <w:r>
        <w:t xml:space="preserve">【33】 C. Paul &amp; D. Brady,</w:t>
      </w:r>
      <w:r>
        <w:t xml:space="preserve"> </w:t>
      </w:r>
      <w:r>
        <w:rPr>
          <w:i/>
          <w:iCs/>
        </w:rPr>
        <w:t xml:space="preserve">Integr. Med.</w:t>
      </w:r>
      <w:r>
        <w:t xml:space="preserve"> </w:t>
      </w:r>
      <w:r>
        <w:t xml:space="preserve">16(1):42–49 (2017) – Comparative bioavailability of B12 forms (states all forms reduce to cobalamin and active cofactor forms inside cells)</w:t>
      </w:r>
      <w:hyperlink r:id="rId27">
        <w:r>
          <w:rPr>
            <w:rStyle w:val="Hyperlink"/>
          </w:rPr>
          <w:t xml:space="preserve">[7]</w:t>
        </w:r>
      </w:hyperlink>
      <w:hyperlink r:id="rId165">
        <w:r>
          <w:rPr>
            <w:rStyle w:val="Hyperlink"/>
          </w:rPr>
          <w:t xml:space="preserve">[142]</w:t>
        </w:r>
      </w:hyperlink>
      <w:r>
        <w:t xml:space="preserve">.</w:t>
      </w:r>
      <w:r>
        <w:br/>
      </w:r>
      <w:r>
        <w:t xml:space="preserve">【34】 C. Paul &amp; D. Brady,</w:t>
      </w:r>
      <w:r>
        <w:t xml:space="preserve"> </w:t>
      </w:r>
      <w:r>
        <w:rPr>
          <w:i/>
          <w:iCs/>
        </w:rPr>
        <w:t xml:space="preserve">Integr. Med.</w:t>
      </w:r>
      <w:r>
        <w:t xml:space="preserve"> </w:t>
      </w:r>
      <w:r>
        <w:t xml:space="preserve">16(1):42–49 (2017) – Conclusions preferring bioidentical forms and noting evidence of similar bioavailability for most of population</w:t>
      </w:r>
      <w:hyperlink r:id="rId165">
        <w:r>
          <w:rPr>
            <w:rStyle w:val="Hyperlink"/>
          </w:rPr>
          <w:t xml:space="preserve">[142]</w:t>
        </w:r>
      </w:hyperlink>
      <w:hyperlink r:id="rId158">
        <w:r>
          <w:rPr>
            <w:rStyle w:val="Hyperlink"/>
          </w:rPr>
          <w:t xml:space="preserve">[135]</w:t>
        </w:r>
      </w:hyperlink>
      <w:r>
        <w:t xml:space="preserve">.</w:t>
      </w:r>
      <w:r>
        <w:br/>
      </w:r>
      <w:r>
        <w:t xml:space="preserve">【35】 Data from Paul &amp; Brady (2017) – Passive absorption ~1% of oral dose (500 μg → ~1% absorbed)</w:t>
      </w:r>
      <w:hyperlink r:id="rId136">
        <w:r>
          <w:rPr>
            <w:rStyle w:val="Hyperlink"/>
          </w:rPr>
          <w:t xml:space="preserve">[113]</w:t>
        </w:r>
      </w:hyperlink>
      <w:r>
        <w:t xml:space="preserve">.</w:t>
      </w:r>
      <w:r>
        <w:br/>
      </w:r>
      <w:r>
        <w:t xml:space="preserve">【40】 Excerpts from an internal comprehensive review (2019–2025) – Global prevalence 3–6% (adult) and 15–20% (&gt;60)</w:t>
      </w:r>
      <w:hyperlink r:id="rId34">
        <w:r>
          <w:rPr>
            <w:rStyle w:val="Hyperlink"/>
          </w:rPr>
          <w:t xml:space="preserve">[14]</w:t>
        </w:r>
      </w:hyperlink>
      <w:hyperlink r:id="rId35">
        <w:r>
          <w:rPr>
            <w:rStyle w:val="Hyperlink"/>
          </w:rPr>
          <w:t xml:space="preserve">[15]</w:t>
        </w:r>
      </w:hyperlink>
      <w:r>
        <w:t xml:space="preserve">; FCM as dominant cause</w:t>
      </w:r>
      <w:hyperlink r:id="rId41">
        <w:r>
          <w:rPr>
            <w:rStyle w:val="Hyperlink"/>
          </w:rPr>
          <w:t xml:space="preserve">[22]</w:t>
        </w:r>
      </w:hyperlink>
      <w:r>
        <w:t xml:space="preserve">.</w:t>
      </w:r>
      <w:r>
        <w:br/>
      </w:r>
      <w:r>
        <w:t xml:space="preserve">【41】 Excerpts from same review – Metformin and PPI association statistics (23% of metformin users deficient; PPIs increase risk 5–21%)</w:t>
      </w:r>
      <w:hyperlink r:id="rId52">
        <w:r>
          <w:rPr>
            <w:rStyle w:val="Hyperlink"/>
          </w:rPr>
          <w:t xml:space="preserve">[34]</w:t>
        </w:r>
      </w:hyperlink>
      <w:hyperlink r:id="rId56">
        <w:r>
          <w:rPr>
            <w:rStyle w:val="Hyperlink"/>
          </w:rPr>
          <w:t xml:space="preserve">[38]</w:t>
        </w:r>
      </w:hyperlink>
      <w:r>
        <w:t xml:space="preserve">; annual B12 check in metformin patients</w:t>
      </w:r>
      <w:hyperlink r:id="rId57">
        <w:r>
          <w:rPr>
            <w:rStyle w:val="Hyperlink"/>
          </w:rPr>
          <w:t xml:space="preserve">[39]</w:t>
        </w:r>
      </w:hyperlink>
      <w:r>
        <w:t xml:space="preserve">.</w:t>
      </w:r>
      <w:r>
        <w:br/>
      </w:r>
      <w:r>
        <w:t xml:space="preserve">【42】 Excerpts from same review – Pseudo-TTP defined and differentiated (low retic, macrocytosis, normal ADAMTS13)</w:t>
      </w:r>
      <w:hyperlink r:id="rId75">
        <w:r>
          <w:rPr>
            <w:rStyle w:val="Hyperlink"/>
          </w:rPr>
          <w:t xml:space="preserve">[56]</w:t>
        </w:r>
      </w:hyperlink>
      <w:hyperlink r:id="rId82">
        <w:r>
          <w:rPr>
            <w:rStyle w:val="Hyperlink"/>
          </w:rPr>
          <w:t xml:space="preserve">[64]</w:t>
        </w:r>
      </w:hyperlink>
      <w:r>
        <w:t xml:space="preserve">; incidence &lt;5% of severe cases but 40% misdiagnosed</w:t>
      </w:r>
      <w:hyperlink r:id="rId89">
        <w:r>
          <w:rPr>
            <w:rStyle w:val="Hyperlink"/>
          </w:rPr>
          <w:t xml:space="preserve">[71]</w:t>
        </w:r>
      </w:hyperlink>
      <w:hyperlink r:id="rId87">
        <w:r>
          <w:rPr>
            <w:rStyle w:val="Hyperlink"/>
          </w:rPr>
          <w:t xml:space="preserve">[69]</w:t>
        </w:r>
      </w:hyperlink>
      <w:r>
        <w:t xml:space="preserve">; surveillance for gastric cancer in PA (OLGA staging)</w:t>
      </w:r>
      <w:hyperlink r:id="rId81">
        <w:r>
          <w:rPr>
            <w:rStyle w:val="Hyperlink"/>
          </w:rPr>
          <w:t xml:space="preserve">[62]</w:t>
        </w:r>
      </w:hyperlink>
      <w:hyperlink r:id="rId88">
        <w:r>
          <w:rPr>
            <w:rStyle w:val="Hyperlink"/>
          </w:rPr>
          <w:t xml:space="preserve">[70]</w:t>
        </w:r>
      </w:hyperlink>
      <w:r>
        <w:t xml:space="preserve">.</w:t>
      </w:r>
      <w:r>
        <w:br/>
      </w:r>
      <w:r>
        <w:t xml:space="preserve">【48】 Excerpts from same review – False-positive APCA causes (H. pylori most common; 15–30% APCA+ are not true PA)</w:t>
      </w:r>
      <w:hyperlink r:id="rId46">
        <w:r>
          <w:rPr>
            <w:rStyle w:val="Hyperlink"/>
          </w:rPr>
          <w:t xml:space="preserve">[26]</w:t>
        </w:r>
      </w:hyperlink>
      <w:hyperlink r:id="rId123">
        <w:r>
          <w:rPr>
            <w:rStyle w:val="Hyperlink"/>
          </w:rPr>
          <w:t xml:space="preserve">[101]</w:t>
        </w:r>
      </w:hyperlink>
      <w:r>
        <w:t xml:space="preserve">; 21.4% of Hashimoto’s have APCA</w:t>
      </w:r>
      <w:hyperlink r:id="rId107">
        <w:r>
          <w:rPr>
            <w:rStyle w:val="Hyperlink"/>
          </w:rPr>
          <w:t xml:space="preserve">[86]</w:t>
        </w:r>
      </w:hyperlink>
      <w:r>
        <w:t xml:space="preserve">; anti-IF more specific but lower sensitivity</w:t>
      </w:r>
      <w:hyperlink r:id="rId47">
        <w:r>
          <w:rPr>
            <w:rStyle w:val="Hyperlink"/>
          </w:rPr>
          <w:t xml:space="preserve">[88]</w:t>
        </w:r>
      </w:hyperlink>
      <w:r>
        <w:t xml:space="preserve">.</w:t>
      </w:r>
      <w:r>
        <w:br/>
      </w:r>
      <w:r>
        <w:t xml:space="preserve">【49】 Excerpts from same review – Global guideline comparison table (UK: IM hydroxo 1 mg 3-monthly; Canada: oral 1 mg daily for malabsorption; France/Germany: IM for severe, oral for mild)</w:t>
      </w:r>
      <w:hyperlink r:id="rId168">
        <w:r>
          <w:rPr>
            <w:rStyle w:val="Hyperlink"/>
          </w:rPr>
          <w:t xml:space="preserve">[145]</w:t>
        </w:r>
      </w:hyperlink>
      <w:hyperlink r:id="rId177">
        <w:r>
          <w:rPr>
            <w:rStyle w:val="Hyperlink"/>
          </w:rPr>
          <w:t xml:space="preserve">[154]</w:t>
        </w:r>
      </w:hyperlink>
      <w:r>
        <w:t xml:space="preserve">; Brazil: no unified guideline, practice aligns globally</w:t>
      </w:r>
      <w:hyperlink r:id="rId194">
        <w:r>
          <w:rPr>
            <w:rStyle w:val="Hyperlink"/>
          </w:rPr>
          <w:t xml:space="preserve">[171]</w:t>
        </w:r>
      </w:hyperlink>
      <w:r>
        <w:t xml:space="preserve">.</w:t>
      </w:r>
      <w:r>
        <w:br/>
      </w:r>
      <w:r>
        <w:t xml:space="preserve">【54】 Excerpts from same – Pathophysiology of absorption (dietary release, IF binding, ileal uptake)</w:t>
      </w:r>
      <w:hyperlink r:id="rId23">
        <w:r>
          <w:rPr>
            <w:rStyle w:val="Hyperlink"/>
          </w:rPr>
          <w:t xml:space="preserve">[3]</w:t>
        </w:r>
      </w:hyperlink>
      <w:hyperlink r:id="rId45">
        <w:r>
          <w:rPr>
            <w:rStyle w:val="Hyperlink"/>
          </w:rPr>
          <w:t xml:space="preserve">[25]</w:t>
        </w:r>
      </w:hyperlink>
      <w:r>
        <w:t xml:space="preserve">; Etiology summary (malabsorption: PA, gastritis, ileal disease, PPIs, etc.)</w:t>
      </w:r>
      <w:hyperlink r:id="rId45">
        <w:r>
          <w:rPr>
            <w:rStyle w:val="Hyperlink"/>
          </w:rPr>
          <w:t xml:space="preserve">[25]</w:t>
        </w:r>
      </w:hyperlink>
      <w:hyperlink r:id="rId59">
        <w:r>
          <w:rPr>
            <w:rStyle w:val="Hyperlink"/>
          </w:rPr>
          <w:t xml:space="preserve">[181]</w:t>
        </w:r>
      </w:hyperlink>
      <w:r>
        <w:t xml:space="preserve">.</w:t>
      </w:r>
      <w:r>
        <w:br/>
      </w:r>
      <w:r>
        <w:t xml:space="preserve">【10】 NICE Guideline NG239 (2024) – Vitamin B12 deficiency in people ≥16: recommends either serum B12 or holoTC as initial test, and monitoring for gastric cancer in autoimmune gastritis</w:t>
      </w:r>
      <w:hyperlink r:id="rId125">
        <w:r>
          <w:rPr>
            <w:rStyle w:val="Hyperlink"/>
          </w:rPr>
          <w:t xml:space="preserve">[103]</w:t>
        </w:r>
      </w:hyperlink>
      <w:hyperlink r:id="rId119">
        <w:r>
          <w:rPr>
            <w:rStyle w:val="Hyperlink"/>
          </w:rPr>
          <w:t xml:space="preserve">[97]</w:t>
        </w:r>
      </w:hyperlink>
      <w:r>
        <w:t xml:space="preserve">.</w:t>
      </w:r>
      <w:r>
        <w:br/>
      </w:r>
      <w:r>
        <w:t xml:space="preserve">【13】 R. Obeid et al. (Delphi consensus, 2024) – Emphasis that clinical symptoms should drive diagnosis, and agreement that high-dose oral is effective for long-term treatment in many cases</w:t>
      </w:r>
      <w:hyperlink r:id="rId100">
        <w:r>
          <w:rPr>
            <w:rStyle w:val="Hyperlink"/>
          </w:rPr>
          <w:t xml:space="preserve">[81]</w:t>
        </w:r>
      </w:hyperlink>
      <w:hyperlink r:id="rId185">
        <w:r>
          <w:rPr>
            <w:rStyle w:val="Hyperlink"/>
          </w:rPr>
          <w:t xml:space="preserve">[162]</w:t>
        </w:r>
      </w:hyperlink>
      <w:r>
        <w:t xml:space="preserve">.</w:t>
      </w:r>
      <w:r>
        <w:br/>
      </w:r>
      <w:r>
        <w:t xml:space="preserve">【19】 S. Ferraro et al.,</w:t>
      </w:r>
      <w:r>
        <w:t xml:space="preserve"> </w:t>
      </w:r>
      <w:r>
        <w:rPr>
          <w:i/>
          <w:iCs/>
        </w:rPr>
        <w:t xml:space="preserve">Clin. Chem.</w:t>
      </w:r>
      <w:r>
        <w:t xml:space="preserve"> </w:t>
      </w:r>
      <w:r>
        <w:t xml:space="preserve">(2024) – Commentary on new NICE recs: NICE recommends either total B12 or active B12 as initial test</w:t>
      </w:r>
      <w:hyperlink r:id="rId117">
        <w:r>
          <w:rPr>
            <w:rStyle w:val="Hyperlink"/>
          </w:rPr>
          <w:t xml:space="preserve">[95]</w:t>
        </w:r>
      </w:hyperlink>
      <w:r>
        <w:t xml:space="preserve">.</w:t>
      </w:r>
      <w:r>
        <w:br/>
      </w:r>
      <w:r>
        <w:t xml:space="preserve">【45】 B12 Institute (NL) and BMJ summary – Deficiency &lt;148 pmol/L, borderline 148–221 pmol/L, check MMA/hcy in that range</w:t>
      </w:r>
      <w:hyperlink r:id="rId190">
        <w:r>
          <w:rPr>
            <w:rStyle w:val="Hyperlink"/>
          </w:rPr>
          <w:t xml:space="preserve">[167]</w:t>
        </w:r>
      </w:hyperlink>
      <w:hyperlink r:id="rId114">
        <w:r>
          <w:rPr>
            <w:rStyle w:val="Hyperlink"/>
          </w:rPr>
          <w:t xml:space="preserve">[92]</w:t>
        </w:r>
      </w:hyperlink>
      <w:r>
        <w:t xml:space="preserve">.</w:t>
      </w:r>
      <w:r>
        <w:br/>
      </w:r>
      <w:r>
        <w:t xml:space="preserve">【69】 A. Andrès et al.,</w:t>
      </w:r>
      <w:r>
        <w:t xml:space="preserve"> </w:t>
      </w:r>
      <w:r>
        <w:rPr>
          <w:i/>
          <w:iCs/>
        </w:rPr>
        <w:t xml:space="preserve">Blood</w:t>
      </w:r>
      <w:r>
        <w:t xml:space="preserve"> </w:t>
      </w:r>
      <w:r>
        <w:t xml:space="preserve">129(19):2603–2611 (2017) – “21st century perspective” on B12 deficiency (notes US prevalence by age: ≥3% in young adults)</w:t>
      </w:r>
      <w:hyperlink r:id="rId37">
        <w:r>
          <w:rPr>
            <w:rStyle w:val="Hyperlink"/>
          </w:rPr>
          <w:t xml:space="preserve">[17]</w:t>
        </w:r>
      </w:hyperlink>
      <w:r>
        <w:t xml:space="preserve">.</w:t>
      </w:r>
      <w:r>
        <w:br/>
      </w:r>
      <w:r>
        <w:t xml:space="preserve">【7】 NIH fact sheet &amp; others – Global prevalence varies (e.g. up to 6% globally, 20% in older adults, vegetarians high risk)</w:t>
      </w:r>
      <w:hyperlink r:id="rId38">
        <w:r>
          <w:rPr>
            <w:rStyle w:val="Hyperlink"/>
          </w:rPr>
          <w:t xml:space="preserve">[18]</w:t>
        </w:r>
      </w:hyperlink>
      <w:hyperlink r:id="rId206">
        <w:r>
          <w:rPr>
            <w:rStyle w:val="Hyperlink"/>
          </w:rPr>
          <w:t xml:space="preserve">[182]</w:t>
        </w:r>
      </w:hyperlink>
      <w:r>
        <w:t xml:space="preserve">.</w:t>
      </w:r>
    </w:p>
    <w:bookmarkEnd w:id="207"/>
    <w:bookmarkEnd w:id="208"/>
    <w:bookmarkEnd w:id="209"/>
    <w:p>
      <w:r>
        <w:pict>
          <v:rect style="width:0;height:1.5pt" o:hralign="center" o:hrstd="t" o:hr="t"/>
        </w:pict>
      </w:r>
    </w:p>
    <w:bookmarkStart w:id="240"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40">
        <w:r>
          <w:rPr>
            <w:rStyle w:val="Hyperlink"/>
          </w:rPr>
          <w:t xml:space="preserve">[21]</w:t>
        </w:r>
      </w:hyperlink>
      <w:r>
        <w:t xml:space="preserve"> </w:t>
      </w:r>
      <w:hyperlink r:id="rId41">
        <w:r>
          <w:rPr>
            <w:rStyle w:val="Hyperlink"/>
          </w:rPr>
          <w:t xml:space="preserve">[22]</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0">
        <w:r>
          <w:rPr>
            <w:rStyle w:val="Hyperlink"/>
          </w:rPr>
          <w:t xml:space="preserve">[27]</w:t>
        </w:r>
      </w:hyperlink>
      <w:r>
        <w:t xml:space="preserve"> </w:t>
      </w:r>
      <w:hyperlink r:id="rId47">
        <w:r>
          <w:rPr>
            <w:rStyle w:val="Hyperlink"/>
          </w:rPr>
          <w:t xml:space="preserve">[28]</w:t>
        </w:r>
      </w:hyperlink>
      <w:r>
        <w:t xml:space="preserve"> </w:t>
      </w:r>
      <w:hyperlink r:id="rId48">
        <w:r>
          <w:rPr>
            <w:rStyle w:val="Hyperlink"/>
          </w:rPr>
          <w:t xml:space="preserve">[29]</w:t>
        </w:r>
      </w:hyperlink>
      <w:r>
        <w:t xml:space="preserve"> </w:t>
      </w:r>
      <w:hyperlink r:id="rId49">
        <w:r>
          <w:rPr>
            <w:rStyle w:val="Hyperlink"/>
          </w:rPr>
          <w:t xml:space="preserve">[30]</w:t>
        </w:r>
      </w:hyperlink>
      <w:r>
        <w:t xml:space="preserve"> </w:t>
      </w:r>
      <w:hyperlink r:id="rId50">
        <w:r>
          <w:rPr>
            <w:rStyle w:val="Hyperlink"/>
          </w:rPr>
          <w:t xml:space="preserve">[31]</w:t>
        </w:r>
      </w:hyperlink>
      <w:r>
        <w:t xml:space="preserve"> </w:t>
      </w:r>
      <w:hyperlink r:id="rId45">
        <w:r>
          <w:rPr>
            <w:rStyle w:val="Hyperlink"/>
          </w:rPr>
          <w:t xml:space="preserve">[32]</w:t>
        </w:r>
      </w:hyperlink>
      <w:r>
        <w:t xml:space="preserve"> </w:t>
      </w:r>
      <w:hyperlink r:id="rId52">
        <w:r>
          <w:rPr>
            <w:rStyle w:val="Hyperlink"/>
          </w:rPr>
          <w:t xml:space="preserve">[34]</w:t>
        </w:r>
      </w:hyperlink>
      <w:r>
        <w:t xml:space="preserve"> </w:t>
      </w:r>
      <w:hyperlink r:id="rId53">
        <w:r>
          <w:rPr>
            <w:rStyle w:val="Hyperlink"/>
          </w:rPr>
          <w:t xml:space="preserve">[35]</w:t>
        </w:r>
      </w:hyperlink>
      <w:r>
        <w:t xml:space="preserve"> </w:t>
      </w:r>
      <w:hyperlink r:id="rId54">
        <w:r>
          <w:rPr>
            <w:rStyle w:val="Hyperlink"/>
          </w:rPr>
          <w:t xml:space="preserve">[36]</w:t>
        </w:r>
      </w:hyperlink>
      <w:r>
        <w:t xml:space="preserve"> </w:t>
      </w:r>
      <w:hyperlink r:id="rId55">
        <w:r>
          <w:rPr>
            <w:rStyle w:val="Hyperlink"/>
          </w:rPr>
          <w:t xml:space="preserve">[37]</w:t>
        </w:r>
      </w:hyperlink>
      <w:r>
        <w:t xml:space="preserve"> </w:t>
      </w:r>
      <w:hyperlink r:id="rId56">
        <w:r>
          <w:rPr>
            <w:rStyle w:val="Hyperlink"/>
          </w:rPr>
          <w:t xml:space="preserve">[38]</w:t>
        </w:r>
      </w:hyperlink>
      <w:r>
        <w:t xml:space="preserve"> </w:t>
      </w:r>
      <w:hyperlink r:id="rId57">
        <w:r>
          <w:rPr>
            <w:rStyle w:val="Hyperlink"/>
          </w:rPr>
          <w:t xml:space="preserve">[39]</w:t>
        </w:r>
      </w:hyperlink>
      <w:r>
        <w:t xml:space="preserve"> </w:t>
      </w:r>
      <w:hyperlink r:id="rId58">
        <w:r>
          <w:rPr>
            <w:rStyle w:val="Hyperlink"/>
          </w:rPr>
          <w:t xml:space="preserve">[40]</w:t>
        </w:r>
      </w:hyperlink>
      <w:r>
        <w:t xml:space="preserve"> </w:t>
      </w:r>
      <w:hyperlink r:id="rId59">
        <w:r>
          <w:rPr>
            <w:rStyle w:val="Hyperlink"/>
          </w:rPr>
          <w:t xml:space="preserve">[41]</w:t>
        </w:r>
      </w:hyperlink>
      <w:r>
        <w:t xml:space="preserve"> </w:t>
      </w:r>
      <w:hyperlink r:id="rId60">
        <w:r>
          <w:rPr>
            <w:rStyle w:val="Hyperlink"/>
          </w:rPr>
          <w:t xml:space="preserve">[42]</w:t>
        </w:r>
      </w:hyperlink>
      <w:r>
        <w:t xml:space="preserve"> </w:t>
      </w:r>
      <w:hyperlink r:id="rId61">
        <w:r>
          <w:rPr>
            <w:rStyle w:val="Hyperlink"/>
          </w:rPr>
          <w:t xml:space="preserve">[43]</w:t>
        </w:r>
      </w:hyperlink>
      <w:r>
        <w:t xml:space="preserve"> </w:t>
      </w:r>
      <w:hyperlink r:id="rId62">
        <w:r>
          <w:rPr>
            <w:rStyle w:val="Hyperlink"/>
          </w:rPr>
          <w:t xml:space="preserve">[44]</w:t>
        </w:r>
      </w:hyperlink>
      <w:r>
        <w:t xml:space="preserve"> </w:t>
      </w:r>
      <w:hyperlink r:id="rId63">
        <w:r>
          <w:rPr>
            <w:rStyle w:val="Hyperlink"/>
          </w:rPr>
          <w:t xml:space="preserve">[45]</w:t>
        </w:r>
      </w:hyperlink>
      <w:r>
        <w:t xml:space="preserve"> </w:t>
      </w:r>
      <w:hyperlink r:id="rId64">
        <w:r>
          <w:rPr>
            <w:rStyle w:val="Hyperlink"/>
          </w:rPr>
          <w:t xml:space="preserve">[46]</w:t>
        </w:r>
      </w:hyperlink>
      <w:r>
        <w:t xml:space="preserve"> </w:t>
      </w:r>
      <w:hyperlink r:id="rId67">
        <w:r>
          <w:rPr>
            <w:rStyle w:val="Hyperlink"/>
          </w:rPr>
          <w:t xml:space="preserve">[49]</w:t>
        </w:r>
      </w:hyperlink>
      <w:r>
        <w:t xml:space="preserve"> </w:t>
      </w:r>
      <w:hyperlink r:id="rId71">
        <w:r>
          <w:rPr>
            <w:rStyle w:val="Hyperlink"/>
          </w:rPr>
          <w:t xml:space="preserve">[52]</w:t>
        </w:r>
      </w:hyperlink>
      <w:r>
        <w:t xml:space="preserve"> </w:t>
      </w:r>
      <w:hyperlink r:id="rId72">
        <w:r>
          <w:rPr>
            <w:rStyle w:val="Hyperlink"/>
          </w:rPr>
          <w:t xml:space="preserve">[53]</w:t>
        </w:r>
      </w:hyperlink>
      <w:r>
        <w:t xml:space="preserve"> </w:t>
      </w:r>
      <w:hyperlink r:id="rId73">
        <w:r>
          <w:rPr>
            <w:rStyle w:val="Hyperlink"/>
          </w:rPr>
          <w:t xml:space="preserve">[54]</w:t>
        </w:r>
      </w:hyperlink>
      <w:r>
        <w:t xml:space="preserve"> </w:t>
      </w:r>
      <w:hyperlink r:id="rId75">
        <w:r>
          <w:rPr>
            <w:rStyle w:val="Hyperlink"/>
          </w:rPr>
          <w:t xml:space="preserve">[56]</w:t>
        </w:r>
      </w:hyperlink>
      <w:r>
        <w:t xml:space="preserve"> </w:t>
      </w:r>
      <w:hyperlink r:id="rId76">
        <w:r>
          <w:rPr>
            <w:rStyle w:val="Hyperlink"/>
          </w:rPr>
          <w:t xml:space="preserve">[57]</w:t>
        </w:r>
      </w:hyperlink>
      <w:r>
        <w:t xml:space="preserve"> </w:t>
      </w:r>
      <w:hyperlink r:id="rId77">
        <w:r>
          <w:rPr>
            <w:rStyle w:val="Hyperlink"/>
          </w:rPr>
          <w:t xml:space="preserve">[58]</w:t>
        </w:r>
      </w:hyperlink>
      <w:r>
        <w:t xml:space="preserve"> </w:t>
      </w:r>
      <w:hyperlink r:id="rId78">
        <w:r>
          <w:rPr>
            <w:rStyle w:val="Hyperlink"/>
          </w:rPr>
          <w:t xml:space="preserve">[59]</w:t>
        </w:r>
      </w:hyperlink>
      <w:r>
        <w:t xml:space="preserve"> </w:t>
      </w:r>
      <w:hyperlink r:id="rId79">
        <w:r>
          <w:rPr>
            <w:rStyle w:val="Hyperlink"/>
          </w:rPr>
          <w:t xml:space="preserve">[60]</w:t>
        </w:r>
      </w:hyperlink>
      <w:r>
        <w:t xml:space="preserve"> </w:t>
      </w:r>
      <w:hyperlink r:id="rId80">
        <w:r>
          <w:rPr>
            <w:rStyle w:val="Hyperlink"/>
          </w:rPr>
          <w:t xml:space="preserve">[61]</w:t>
        </w:r>
      </w:hyperlink>
      <w:r>
        <w:t xml:space="preserve"> </w:t>
      </w:r>
      <w:hyperlink r:id="rId81">
        <w:r>
          <w:rPr>
            <w:rStyle w:val="Hyperlink"/>
          </w:rPr>
          <w:t xml:space="preserve">[62]</w:t>
        </w:r>
      </w:hyperlink>
      <w:r>
        <w:t xml:space="preserve"> </w:t>
      </w:r>
      <w:hyperlink r:id="rId76">
        <w:r>
          <w:rPr>
            <w:rStyle w:val="Hyperlink"/>
          </w:rPr>
          <w:t xml:space="preserve">[63]</w:t>
        </w:r>
      </w:hyperlink>
      <w:r>
        <w:t xml:space="preserve"> </w:t>
      </w:r>
      <w:hyperlink r:id="rId82">
        <w:r>
          <w:rPr>
            <w:rStyle w:val="Hyperlink"/>
          </w:rPr>
          <w:t xml:space="preserve">[64]</w:t>
        </w:r>
      </w:hyperlink>
      <w:r>
        <w:t xml:space="preserve"> </w:t>
      </w:r>
      <w:hyperlink r:id="rId83">
        <w:r>
          <w:rPr>
            <w:rStyle w:val="Hyperlink"/>
          </w:rPr>
          <w:t xml:space="preserve">[65]</w:t>
        </w:r>
      </w:hyperlink>
      <w:r>
        <w:t xml:space="preserve"> </w:t>
      </w:r>
      <w:hyperlink r:id="rId84">
        <w:r>
          <w:rPr>
            <w:rStyle w:val="Hyperlink"/>
          </w:rPr>
          <w:t xml:space="preserve">[66]</w:t>
        </w:r>
      </w:hyperlink>
      <w:r>
        <w:t xml:space="preserve"> </w:t>
      </w:r>
      <w:hyperlink r:id="rId85">
        <w:r>
          <w:rPr>
            <w:rStyle w:val="Hyperlink"/>
          </w:rPr>
          <w:t xml:space="preserve">[67]</w:t>
        </w:r>
      </w:hyperlink>
      <w:r>
        <w:t xml:space="preserve"> </w:t>
      </w:r>
      <w:hyperlink r:id="rId86">
        <w:r>
          <w:rPr>
            <w:rStyle w:val="Hyperlink"/>
          </w:rPr>
          <w:t xml:space="preserve">[68]</w:t>
        </w:r>
      </w:hyperlink>
      <w:r>
        <w:t xml:space="preserve"> </w:t>
      </w:r>
      <w:hyperlink r:id="rId87">
        <w:r>
          <w:rPr>
            <w:rStyle w:val="Hyperlink"/>
          </w:rPr>
          <w:t xml:space="preserve">[69]</w:t>
        </w:r>
      </w:hyperlink>
      <w:r>
        <w:t xml:space="preserve"> </w:t>
      </w:r>
      <w:hyperlink r:id="rId88">
        <w:r>
          <w:rPr>
            <w:rStyle w:val="Hyperlink"/>
          </w:rPr>
          <w:t xml:space="preserve">[70]</w:t>
        </w:r>
      </w:hyperlink>
      <w:r>
        <w:t xml:space="preserve"> </w:t>
      </w:r>
      <w:hyperlink r:id="rId89">
        <w:r>
          <w:rPr>
            <w:rStyle w:val="Hyperlink"/>
          </w:rPr>
          <w:t xml:space="preserve">[71]</w:t>
        </w:r>
      </w:hyperlink>
      <w:r>
        <w:t xml:space="preserve"> </w:t>
      </w:r>
      <w:hyperlink r:id="rId90">
        <w:r>
          <w:rPr>
            <w:rStyle w:val="Hyperlink"/>
          </w:rPr>
          <w:t xml:space="preserve">[72]</w:t>
        </w:r>
      </w:hyperlink>
      <w:r>
        <w:t xml:space="preserve"> </w:t>
      </w:r>
      <w:hyperlink r:id="rId91">
        <w:r>
          <w:rPr>
            <w:rStyle w:val="Hyperlink"/>
          </w:rPr>
          <w:t xml:space="preserve">[73]</w:t>
        </w:r>
      </w:hyperlink>
      <w:r>
        <w:t xml:space="preserve"> </w:t>
      </w:r>
      <w:hyperlink r:id="rId92">
        <w:r>
          <w:rPr>
            <w:rStyle w:val="Hyperlink"/>
          </w:rPr>
          <w:t xml:space="preserve">[74]</w:t>
        </w:r>
      </w:hyperlink>
      <w:r>
        <w:t xml:space="preserve"> </w:t>
      </w:r>
      <w:hyperlink r:id="rId94">
        <w:r>
          <w:rPr>
            <w:rStyle w:val="Hyperlink"/>
          </w:rPr>
          <w:t xml:space="preserve">[75]</w:t>
        </w:r>
      </w:hyperlink>
      <w:r>
        <w:t xml:space="preserve"> </w:t>
      </w:r>
      <w:hyperlink r:id="rId99">
        <w:r>
          <w:rPr>
            <w:rStyle w:val="Hyperlink"/>
          </w:rPr>
          <w:t xml:space="preserve">[80]</w:t>
        </w:r>
      </w:hyperlink>
      <w:r>
        <w:t xml:space="preserve"> </w:t>
      </w:r>
      <w:hyperlink r:id="rId104">
        <w:r>
          <w:rPr>
            <w:rStyle w:val="Hyperlink"/>
          </w:rPr>
          <w:t xml:space="preserve">[84]</w:t>
        </w:r>
      </w:hyperlink>
      <w:r>
        <w:t xml:space="preserve"> </w:t>
      </w:r>
      <w:hyperlink r:id="rId106">
        <w:r>
          <w:rPr>
            <w:rStyle w:val="Hyperlink"/>
          </w:rPr>
          <w:t xml:space="preserve">[85]</w:t>
        </w:r>
      </w:hyperlink>
      <w:r>
        <w:t xml:space="preserve"> </w:t>
      </w:r>
      <w:hyperlink r:id="rId107">
        <w:r>
          <w:rPr>
            <w:rStyle w:val="Hyperlink"/>
          </w:rPr>
          <w:t xml:space="preserve">[86]</w:t>
        </w:r>
      </w:hyperlink>
      <w:r>
        <w:t xml:space="preserve"> </w:t>
      </w:r>
      <w:hyperlink r:id="rId108">
        <w:r>
          <w:rPr>
            <w:rStyle w:val="Hyperlink"/>
          </w:rPr>
          <w:t xml:space="preserve">[87]</w:t>
        </w:r>
      </w:hyperlink>
      <w:r>
        <w:t xml:space="preserve"> </w:t>
      </w:r>
      <w:hyperlink r:id="rId47">
        <w:r>
          <w:rPr>
            <w:rStyle w:val="Hyperlink"/>
          </w:rPr>
          <w:t xml:space="preserve">[88]</w:t>
        </w:r>
      </w:hyperlink>
      <w:r>
        <w:t xml:space="preserve"> </w:t>
      </w:r>
      <w:hyperlink r:id="rId123">
        <w:r>
          <w:rPr>
            <w:rStyle w:val="Hyperlink"/>
          </w:rPr>
          <w:t xml:space="preserve">[101]</w:t>
        </w:r>
      </w:hyperlink>
      <w:r>
        <w:t xml:space="preserve"> </w:t>
      </w:r>
      <w:hyperlink r:id="rId124">
        <w:r>
          <w:rPr>
            <w:rStyle w:val="Hyperlink"/>
          </w:rPr>
          <w:t xml:space="preserve">[102]</w:t>
        </w:r>
      </w:hyperlink>
      <w:r>
        <w:t xml:space="preserve"> </w:t>
      </w:r>
      <w:hyperlink r:id="rId132">
        <w:r>
          <w:rPr>
            <w:rStyle w:val="Hyperlink"/>
          </w:rPr>
          <w:t xml:space="preserve">[109]</w:t>
        </w:r>
      </w:hyperlink>
      <w:r>
        <w:t xml:space="preserve"> </w:t>
      </w:r>
      <w:hyperlink r:id="rId133">
        <w:r>
          <w:rPr>
            <w:rStyle w:val="Hyperlink"/>
          </w:rPr>
          <w:t xml:space="preserve">[110]</w:t>
        </w:r>
      </w:hyperlink>
      <w:r>
        <w:t xml:space="preserve"> </w:t>
      </w:r>
      <w:hyperlink r:id="rId136">
        <w:r>
          <w:rPr>
            <w:rStyle w:val="Hyperlink"/>
          </w:rPr>
          <w:t xml:space="preserve">[113]</w:t>
        </w:r>
      </w:hyperlink>
      <w:r>
        <w:t xml:space="preserve"> </w:t>
      </w:r>
      <w:hyperlink r:id="rId138">
        <w:r>
          <w:rPr>
            <w:rStyle w:val="Hyperlink"/>
          </w:rPr>
          <w:t xml:space="preserve">[115]</w:t>
        </w:r>
      </w:hyperlink>
      <w:r>
        <w:t xml:space="preserve"> </w:t>
      </w:r>
      <w:hyperlink r:id="rId139">
        <w:r>
          <w:rPr>
            <w:rStyle w:val="Hyperlink"/>
          </w:rPr>
          <w:t xml:space="preserve">[116]</w:t>
        </w:r>
      </w:hyperlink>
      <w:r>
        <w:t xml:space="preserve"> </w:t>
      </w:r>
      <w:hyperlink r:id="rId144">
        <w:r>
          <w:rPr>
            <w:rStyle w:val="Hyperlink"/>
          </w:rPr>
          <w:t xml:space="preserve">[121]</w:t>
        </w:r>
      </w:hyperlink>
      <w:r>
        <w:t xml:space="preserve"> </w:t>
      </w:r>
      <w:hyperlink r:id="rId155">
        <w:r>
          <w:rPr>
            <w:rStyle w:val="Hyperlink"/>
          </w:rPr>
          <w:t xml:space="preserve">[132]</w:t>
        </w:r>
      </w:hyperlink>
      <w:r>
        <w:t xml:space="preserve"> </w:t>
      </w:r>
      <w:hyperlink r:id="rId157">
        <w:r>
          <w:rPr>
            <w:rStyle w:val="Hyperlink"/>
          </w:rPr>
          <w:t xml:space="preserve">[134]</w:t>
        </w:r>
      </w:hyperlink>
      <w:r>
        <w:t xml:space="preserve"> </w:t>
      </w:r>
      <w:hyperlink r:id="rId161">
        <w:r>
          <w:rPr>
            <w:rStyle w:val="Hyperlink"/>
          </w:rPr>
          <w:t xml:space="preserve">[138]</w:t>
        </w:r>
      </w:hyperlink>
      <w:r>
        <w:t xml:space="preserve"> </w:t>
      </w:r>
      <w:hyperlink r:id="rId162">
        <w:r>
          <w:rPr>
            <w:rStyle w:val="Hyperlink"/>
          </w:rPr>
          <w:t xml:space="preserve">[139]</w:t>
        </w:r>
      </w:hyperlink>
      <w:r>
        <w:t xml:space="preserve"> </w:t>
      </w:r>
      <w:hyperlink r:id="rId164">
        <w:r>
          <w:rPr>
            <w:rStyle w:val="Hyperlink"/>
          </w:rPr>
          <w:t xml:space="preserve">[141]</w:t>
        </w:r>
      </w:hyperlink>
      <w:r>
        <w:t xml:space="preserve"> </w:t>
      </w:r>
      <w:hyperlink r:id="rId166">
        <w:r>
          <w:rPr>
            <w:rStyle w:val="Hyperlink"/>
          </w:rPr>
          <w:t xml:space="preserve">[143]</w:t>
        </w:r>
      </w:hyperlink>
      <w:r>
        <w:t xml:space="preserve"> </w:t>
      </w:r>
      <w:hyperlink r:id="rId167">
        <w:r>
          <w:rPr>
            <w:rStyle w:val="Hyperlink"/>
          </w:rPr>
          <w:t xml:space="preserve">[144]</w:t>
        </w:r>
      </w:hyperlink>
      <w:r>
        <w:t xml:space="preserve"> </w:t>
      </w:r>
      <w:hyperlink r:id="rId168">
        <w:r>
          <w:rPr>
            <w:rStyle w:val="Hyperlink"/>
          </w:rPr>
          <w:t xml:space="preserve">[145]</w:t>
        </w:r>
      </w:hyperlink>
      <w:r>
        <w:t xml:space="preserve"> </w:t>
      </w:r>
      <w:hyperlink r:id="rId169">
        <w:r>
          <w:rPr>
            <w:rStyle w:val="Hyperlink"/>
          </w:rPr>
          <w:t xml:space="preserve">[146]</w:t>
        </w:r>
      </w:hyperlink>
      <w:r>
        <w:t xml:space="preserve"> </w:t>
      </w:r>
      <w:hyperlink r:id="rId171">
        <w:r>
          <w:rPr>
            <w:rStyle w:val="Hyperlink"/>
          </w:rPr>
          <w:t xml:space="preserve">[147]</w:t>
        </w:r>
      </w:hyperlink>
      <w:r>
        <w:t xml:space="preserve"> </w:t>
      </w:r>
      <w:hyperlink r:id="rId172">
        <w:r>
          <w:rPr>
            <w:rStyle w:val="Hyperlink"/>
          </w:rPr>
          <w:t xml:space="preserve">[148]</w:t>
        </w:r>
      </w:hyperlink>
      <w:r>
        <w:t xml:space="preserve"> </w:t>
      </w:r>
      <w:hyperlink r:id="rId176">
        <w:r>
          <w:rPr>
            <w:rStyle w:val="Hyperlink"/>
          </w:rPr>
          <w:t xml:space="preserve">[153]</w:t>
        </w:r>
      </w:hyperlink>
      <w:r>
        <w:t xml:space="preserve"> </w:t>
      </w:r>
      <w:hyperlink r:id="rId177">
        <w:r>
          <w:rPr>
            <w:rStyle w:val="Hyperlink"/>
          </w:rPr>
          <w:t xml:space="preserve">[154]</w:t>
        </w:r>
      </w:hyperlink>
      <w:r>
        <w:t xml:space="preserve"> </w:t>
      </w:r>
      <w:hyperlink r:id="rId191">
        <w:r>
          <w:rPr>
            <w:rStyle w:val="Hyperlink"/>
          </w:rPr>
          <w:t xml:space="preserve">[168]</w:t>
        </w:r>
      </w:hyperlink>
      <w:r>
        <w:t xml:space="preserve"> </w:t>
      </w:r>
      <w:hyperlink r:id="rId194">
        <w:r>
          <w:rPr>
            <w:rStyle w:val="Hyperlink"/>
          </w:rPr>
          <w:t xml:space="preserve">[171]</w:t>
        </w:r>
      </w:hyperlink>
      <w:r>
        <w:t xml:space="preserve"> </w:t>
      </w:r>
      <w:hyperlink r:id="rId197">
        <w:r>
          <w:rPr>
            <w:rStyle w:val="Hyperlink"/>
          </w:rPr>
          <w:t xml:space="preserve">[174]</w:t>
        </w:r>
      </w:hyperlink>
      <w:r>
        <w:t xml:space="preserve"> </w:t>
      </w:r>
      <w:hyperlink r:id="rId81">
        <w:r>
          <w:rPr>
            <w:rStyle w:val="Hyperlink"/>
          </w:rPr>
          <w:t xml:space="preserve">[175]</w:t>
        </w:r>
      </w:hyperlink>
      <w:r>
        <w:t xml:space="preserve"> </w:t>
      </w:r>
      <w:hyperlink r:id="rId199">
        <w:r>
          <w:rPr>
            <w:rStyle w:val="Hyperlink"/>
          </w:rPr>
          <w:t xml:space="preserve">[176]</w:t>
        </w:r>
      </w:hyperlink>
      <w:r>
        <w:t xml:space="preserve"> </w:t>
      </w:r>
      <w:hyperlink r:id="rId200">
        <w:r>
          <w:rPr>
            <w:rStyle w:val="Hyperlink"/>
          </w:rPr>
          <w:t xml:space="preserve">[177]</w:t>
        </w:r>
      </w:hyperlink>
      <w:r>
        <w:t xml:space="preserve"> </w:t>
      </w:r>
      <w:hyperlink r:id="rId203">
        <w:r>
          <w:rPr>
            <w:rStyle w:val="Hyperlink"/>
          </w:rPr>
          <w:t xml:space="preserve">[178]</w:t>
        </w:r>
      </w:hyperlink>
      <w:r>
        <w:t xml:space="preserve"> </w:t>
      </w:r>
      <w:hyperlink r:id="rId59">
        <w:r>
          <w:rPr>
            <w:rStyle w:val="Hyperlink"/>
          </w:rPr>
          <w:t xml:space="preserve">[181]</w:t>
        </w:r>
      </w:hyperlink>
      <w:r>
        <w:t xml:space="preserve"> </w:t>
      </w:r>
      <w:r>
        <w:t xml:space="preserve">Comprehensive Review of Vitamin B12 Deficiency_ St (1).pdf</w:t>
      </w:r>
    </w:p>
    <w:p>
      <w:pPr>
        <w:pStyle w:val="BodyText"/>
      </w:pPr>
      <w:hyperlink r:id="rId210">
        <w:r>
          <w:rPr>
            <w:rStyle w:val="Hyperlink"/>
          </w:rPr>
          <w:t xml:space="preserve">file://file_00000000bde861f5aabab1a3120efa52</w:t>
        </w:r>
      </w:hyperlink>
    </w:p>
    <w:p>
      <w:pPr>
        <w:pStyle w:val="BodyText"/>
      </w:pPr>
      <w:hyperlink r:id="rId22">
        <w:r>
          <w:rPr>
            <w:rStyle w:val="Hyperlink"/>
          </w:rPr>
          <w:t xml:space="preserve">[2]</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95">
        <w:r>
          <w:rPr>
            <w:rStyle w:val="Hyperlink"/>
          </w:rPr>
          <w:t xml:space="preserve">[76]</w:t>
        </w:r>
      </w:hyperlink>
      <w:r>
        <w:t xml:space="preserve"> </w:t>
      </w:r>
      <w:hyperlink r:id="rId159">
        <w:r>
          <w:rPr>
            <w:rStyle w:val="Hyperlink"/>
          </w:rPr>
          <w:t xml:space="preserve">[136]</w:t>
        </w:r>
      </w:hyperlink>
      <w:r>
        <w:t xml:space="preserve"> </w:t>
      </w:r>
      <w:hyperlink r:id="rId160">
        <w:r>
          <w:rPr>
            <w:rStyle w:val="Hyperlink"/>
          </w:rPr>
          <w:t xml:space="preserve">[137]</w:t>
        </w:r>
      </w:hyperlink>
      <w:r>
        <w:t xml:space="preserve"> </w:t>
      </w:r>
      <w:hyperlink r:id="rId163">
        <w:r>
          <w:rPr>
            <w:rStyle w:val="Hyperlink"/>
          </w:rPr>
          <w:t xml:space="preserve">[140]</w:t>
        </w:r>
      </w:hyperlink>
      <w:r>
        <w:t xml:space="preserve"> </w:t>
      </w:r>
      <w:hyperlink r:id="rId205">
        <w:r>
          <w:rPr>
            <w:rStyle w:val="Hyperlink"/>
          </w:rPr>
          <w:t xml:space="preserve">[180]</w:t>
        </w:r>
      </w:hyperlink>
      <w:r>
        <w:t xml:space="preserve"> </w:t>
      </w:r>
      <w:r>
        <w:t xml:space="preserve">PSA: Methylcobalamin does not cover all necessary B12 pathways (with scientific evidence cited and quoted) : r/vegan</w:t>
      </w:r>
    </w:p>
    <w:p>
      <w:pPr>
        <w:pStyle w:val="BodyText"/>
      </w:pPr>
      <w:hyperlink r:id="rId211">
        <w:r>
          <w:rPr>
            <w:rStyle w:val="Hyperlink"/>
          </w:rPr>
          <w:t xml:space="preserve">https://www.reddit.com/r/vegan/comments/1ev14uk/psa_methylcobalamin_does_not_cover_all_necessary/</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65">
        <w:r>
          <w:rPr>
            <w:rStyle w:val="Hyperlink"/>
          </w:rPr>
          <w:t xml:space="preserve">[47]</w:t>
        </w:r>
      </w:hyperlink>
      <w:r>
        <w:t xml:space="preserve"> </w:t>
      </w:r>
      <w:hyperlink r:id="rId66">
        <w:r>
          <w:rPr>
            <w:rStyle w:val="Hyperlink"/>
          </w:rPr>
          <w:t xml:space="preserve">[48]</w:t>
        </w:r>
      </w:hyperlink>
      <w:r>
        <w:t xml:space="preserve"> </w:t>
      </w:r>
      <w:hyperlink r:id="rId68">
        <w:r>
          <w:rPr>
            <w:rStyle w:val="Hyperlink"/>
          </w:rPr>
          <w:t xml:space="preserve">[50]</w:t>
        </w:r>
      </w:hyperlink>
      <w:r>
        <w:t xml:space="preserve"> </w:t>
      </w:r>
      <w:hyperlink r:id="rId147">
        <w:r>
          <w:rPr>
            <w:rStyle w:val="Hyperlink"/>
          </w:rPr>
          <w:t xml:space="preserve">[124]</w:t>
        </w:r>
      </w:hyperlink>
      <w:r>
        <w:t xml:space="preserve"> </w:t>
      </w:r>
      <w:hyperlink r:id="rId156">
        <w:r>
          <w:rPr>
            <w:rStyle w:val="Hyperlink"/>
          </w:rPr>
          <w:t xml:space="preserve">[133]</w:t>
        </w:r>
      </w:hyperlink>
      <w:r>
        <w:t xml:space="preserve"> </w:t>
      </w:r>
      <w:hyperlink r:id="rId158">
        <w:r>
          <w:rPr>
            <w:rStyle w:val="Hyperlink"/>
          </w:rPr>
          <w:t xml:space="preserve">[135]</w:t>
        </w:r>
      </w:hyperlink>
      <w:r>
        <w:t xml:space="preserve"> </w:t>
      </w:r>
      <w:hyperlink r:id="rId165">
        <w:r>
          <w:rPr>
            <w:rStyle w:val="Hyperlink"/>
          </w:rPr>
          <w:t xml:space="preserve">[142]</w:t>
        </w:r>
      </w:hyperlink>
      <w:r>
        <w:t xml:space="preserve"> </w:t>
      </w:r>
      <w:r>
        <w:t xml:space="preserve"> </w:t>
      </w:r>
      <w:r>
        <w:t xml:space="preserve">Comparative Bioavailability and Utilization of Particular Forms of B12 Supplements With Potential to Mitigate B12-related Genetic Polymorphisms - PMC</w:t>
      </w:r>
      <w:r>
        <w:t xml:space="preserve"> </w:t>
      </w:r>
    </w:p>
    <w:p>
      <w:pPr>
        <w:pStyle w:val="BodyText"/>
      </w:pPr>
      <w:hyperlink r:id="rId212">
        <w:r>
          <w:rPr>
            <w:rStyle w:val="Hyperlink"/>
          </w:rPr>
          <w:t xml:space="preserve">https://pmc.ncbi.nlm.nih.gov/articles/PMC5312744/</w:t>
        </w:r>
      </w:hyperlink>
    </w:p>
    <w:p>
      <w:pPr>
        <w:pStyle w:val="BodyText"/>
      </w:pPr>
      <w:hyperlink r:id="rId36">
        <w:r>
          <w:rPr>
            <w:rStyle w:val="Hyperlink"/>
          </w:rPr>
          <w:t xml:space="preserve">[16]</w:t>
        </w:r>
      </w:hyperlink>
      <w:r>
        <w:t xml:space="preserve"> </w:t>
      </w:r>
      <w:hyperlink r:id="rId51">
        <w:r>
          <w:rPr>
            <w:rStyle w:val="Hyperlink"/>
          </w:rPr>
          <w:t xml:space="preserve">[33]</w:t>
        </w:r>
      </w:hyperlink>
      <w:r>
        <w:t xml:space="preserve"> </w:t>
      </w:r>
      <w:hyperlink r:id="rId70">
        <w:r>
          <w:rPr>
            <w:rStyle w:val="Hyperlink"/>
          </w:rPr>
          <w:t xml:space="preserve">[51]</w:t>
        </w:r>
      </w:hyperlink>
      <w:r>
        <w:t xml:space="preserve"> </w:t>
      </w:r>
      <w:hyperlink r:id="rId74">
        <w:r>
          <w:rPr>
            <w:rStyle w:val="Hyperlink"/>
          </w:rPr>
          <w:t xml:space="preserve">[55]</w:t>
        </w:r>
      </w:hyperlink>
      <w:r>
        <w:t xml:space="preserve"> </w:t>
      </w:r>
      <w:hyperlink r:id="rId96">
        <w:r>
          <w:rPr>
            <w:rStyle w:val="Hyperlink"/>
          </w:rPr>
          <w:t xml:space="preserve">[77]</w:t>
        </w:r>
      </w:hyperlink>
      <w:r>
        <w:t xml:space="preserve"> </w:t>
      </w:r>
      <w:hyperlink r:id="rId97">
        <w:r>
          <w:rPr>
            <w:rStyle w:val="Hyperlink"/>
          </w:rPr>
          <w:t xml:space="preserve">[78]</w:t>
        </w:r>
      </w:hyperlink>
      <w:r>
        <w:t xml:space="preserve"> </w:t>
      </w:r>
      <w:hyperlink r:id="rId98">
        <w:r>
          <w:rPr>
            <w:rStyle w:val="Hyperlink"/>
          </w:rPr>
          <w:t xml:space="preserve">[79]</w:t>
        </w:r>
      </w:hyperlink>
      <w:r>
        <w:t xml:space="preserve"> </w:t>
      </w:r>
      <w:hyperlink r:id="rId102">
        <w:r>
          <w:rPr>
            <w:rStyle w:val="Hyperlink"/>
          </w:rPr>
          <w:t xml:space="preserve">[82]</w:t>
        </w:r>
      </w:hyperlink>
      <w:r>
        <w:t xml:space="preserve"> </w:t>
      </w:r>
      <w:hyperlink r:id="rId127">
        <w:r>
          <w:rPr>
            <w:rStyle w:val="Hyperlink"/>
          </w:rPr>
          <w:t xml:space="preserve">[105]</w:t>
        </w:r>
      </w:hyperlink>
      <w:r>
        <w:t xml:space="preserve"> </w:t>
      </w:r>
      <w:hyperlink r:id="rId128">
        <w:r>
          <w:rPr>
            <w:rStyle w:val="Hyperlink"/>
          </w:rPr>
          <w:t xml:space="preserve">[106]</w:t>
        </w:r>
      </w:hyperlink>
      <w:r>
        <w:t xml:space="preserve"> </w:t>
      </w:r>
      <w:hyperlink r:id="rId134">
        <w:r>
          <w:rPr>
            <w:rStyle w:val="Hyperlink"/>
          </w:rPr>
          <w:t xml:space="preserve">[111]</w:t>
        </w:r>
      </w:hyperlink>
      <w:r>
        <w:t xml:space="preserve"> </w:t>
      </w:r>
      <w:hyperlink r:id="rId140">
        <w:r>
          <w:rPr>
            <w:rStyle w:val="Hyperlink"/>
          </w:rPr>
          <w:t xml:space="preserve">[117]</w:t>
        </w:r>
      </w:hyperlink>
      <w:r>
        <w:t xml:space="preserve"> </w:t>
      </w:r>
      <w:hyperlink r:id="rId141">
        <w:r>
          <w:rPr>
            <w:rStyle w:val="Hyperlink"/>
          </w:rPr>
          <w:t xml:space="preserve">[118]</w:t>
        </w:r>
      </w:hyperlink>
      <w:r>
        <w:t xml:space="preserve"> </w:t>
      </w:r>
      <w:hyperlink r:id="rId146">
        <w:r>
          <w:rPr>
            <w:rStyle w:val="Hyperlink"/>
          </w:rPr>
          <w:t xml:space="preserve">[122]</w:t>
        </w:r>
      </w:hyperlink>
      <w:r>
        <w:t xml:space="preserve"> </w:t>
      </w:r>
      <w:hyperlink r:id="rId141">
        <w:r>
          <w:rPr>
            <w:rStyle w:val="Hyperlink"/>
          </w:rPr>
          <w:t xml:space="preserve">[123]</w:t>
        </w:r>
      </w:hyperlink>
      <w:r>
        <w:t xml:space="preserve"> </w:t>
      </w:r>
      <w:hyperlink r:id="rId148">
        <w:r>
          <w:rPr>
            <w:rStyle w:val="Hyperlink"/>
          </w:rPr>
          <w:t xml:space="preserve">[125]</w:t>
        </w:r>
      </w:hyperlink>
      <w:r>
        <w:t xml:space="preserve"> </w:t>
      </w:r>
      <w:hyperlink r:id="rId149">
        <w:r>
          <w:rPr>
            <w:rStyle w:val="Hyperlink"/>
          </w:rPr>
          <w:t xml:space="preserve">[126]</w:t>
        </w:r>
      </w:hyperlink>
      <w:r>
        <w:t xml:space="preserve"> </w:t>
      </w:r>
      <w:hyperlink r:id="rId152">
        <w:r>
          <w:rPr>
            <w:rStyle w:val="Hyperlink"/>
          </w:rPr>
          <w:t xml:space="preserve">[129]</w:t>
        </w:r>
      </w:hyperlink>
      <w:r>
        <w:t xml:space="preserve"> </w:t>
      </w:r>
      <w:hyperlink r:id="rId153">
        <w:r>
          <w:rPr>
            <w:rStyle w:val="Hyperlink"/>
          </w:rPr>
          <w:t xml:space="preserve">[130]</w:t>
        </w:r>
      </w:hyperlink>
      <w:r>
        <w:t xml:space="preserve"> </w:t>
      </w:r>
      <w:hyperlink r:id="rId154">
        <w:r>
          <w:rPr>
            <w:rStyle w:val="Hyperlink"/>
          </w:rPr>
          <w:t xml:space="preserve">[131]</w:t>
        </w:r>
      </w:hyperlink>
      <w:r>
        <w:t xml:space="preserve"> </w:t>
      </w:r>
      <w:hyperlink r:id="rId148">
        <w:r>
          <w:rPr>
            <w:rStyle w:val="Hyperlink"/>
          </w:rPr>
          <w:t xml:space="preserve">[149]</w:t>
        </w:r>
      </w:hyperlink>
      <w:r>
        <w:t xml:space="preserve"> </w:t>
      </w:r>
      <w:hyperlink r:id="rId204">
        <w:r>
          <w:rPr>
            <w:rStyle w:val="Hyperlink"/>
          </w:rPr>
          <w:t xml:space="preserve">[179]</w:t>
        </w:r>
      </w:hyperlink>
      <w:r>
        <w:t xml:space="preserve"> </w:t>
      </w:r>
      <w:r>
        <w:t xml:space="preserve">B12 deficiency and replacement in general practice</w:t>
      </w:r>
      <w:r>
        <w:t xml:space="preserve"> </w:t>
      </w:r>
    </w:p>
    <w:p>
      <w:pPr>
        <w:pStyle w:val="BodyText"/>
      </w:pPr>
      <w:hyperlink r:id="rId213">
        <w:r>
          <w:rPr>
            <w:rStyle w:val="Hyperlink"/>
          </w:rPr>
          <w:t xml:space="preserve">https://practicenurse.co.uk/articles/nursing-practice/b12-deficiency-and-replacement-in-general-practice</w:t>
        </w:r>
      </w:hyperlink>
    </w:p>
    <w:p>
      <w:pPr>
        <w:pStyle w:val="BodyText"/>
      </w:pPr>
      <w:hyperlink r:id="rId37">
        <w:r>
          <w:rPr>
            <w:rStyle w:val="Hyperlink"/>
          </w:rPr>
          <w:t xml:space="preserve">[17]</w:t>
        </w:r>
      </w:hyperlink>
      <w:r>
        <w:t xml:space="preserve"> </w:t>
      </w:r>
      <w:r>
        <w:t xml:space="preserve">Vitamin B12 deficiency – A 21st century perspective - PMC - NIH</w:t>
      </w:r>
    </w:p>
    <w:p>
      <w:pPr>
        <w:pStyle w:val="BodyText"/>
      </w:pPr>
      <w:hyperlink r:id="rId214">
        <w:r>
          <w:rPr>
            <w:rStyle w:val="Hyperlink"/>
          </w:rPr>
          <w:t xml:space="preserve">https://pmc.ncbi.nlm.nih.gov/articles/PMC4953733/</w:t>
        </w:r>
      </w:hyperlink>
    </w:p>
    <w:p>
      <w:pPr>
        <w:pStyle w:val="BodyText"/>
      </w:pPr>
      <w:hyperlink r:id="rId38">
        <w:r>
          <w:rPr>
            <w:rStyle w:val="Hyperlink"/>
          </w:rPr>
          <w:t xml:space="preserve">[18]</w:t>
        </w:r>
      </w:hyperlink>
      <w:r>
        <w:t xml:space="preserve"> </w:t>
      </w:r>
      <w:hyperlink r:id="rId38">
        <w:r>
          <w:rPr>
            <w:rStyle w:val="Hyperlink"/>
          </w:rPr>
          <w:t xml:space="preserve">[19]</w:t>
        </w:r>
      </w:hyperlink>
      <w:r>
        <w:t xml:space="preserve"> </w:t>
      </w:r>
      <w:r>
        <w:t xml:space="preserve">(PDF) A Brief Review on Vitamin B12 Deficiency Looking at Some ...</w:t>
      </w:r>
    </w:p>
    <w:p>
      <w:pPr>
        <w:pStyle w:val="BodyText"/>
      </w:pPr>
      <w:hyperlink r:id="rId215">
        <w:r>
          <w:rPr>
            <w:rStyle w:val="Hyperlink"/>
          </w:rPr>
          <w:t xml:space="preserve">https://www.researchgate.net/publication/354426514_A_Brief_Review_on_Vitamin_B12_Deficiency_Looking_at_Some_Case_Study_Reports_in_Adults</w:t>
        </w:r>
      </w:hyperlink>
    </w:p>
    <w:p>
      <w:pPr>
        <w:pStyle w:val="BodyText"/>
      </w:pPr>
      <w:hyperlink r:id="rId39">
        <w:r>
          <w:rPr>
            <w:rStyle w:val="Hyperlink"/>
          </w:rPr>
          <w:t xml:space="preserve">[20]</w:t>
        </w:r>
      </w:hyperlink>
      <w:r>
        <w:t xml:space="preserve"> </w:t>
      </w:r>
      <w:r>
        <w:t xml:space="preserve">Vitamin B12 deficiency - Wikipedia</w:t>
      </w:r>
    </w:p>
    <w:p>
      <w:pPr>
        <w:pStyle w:val="BodyText"/>
      </w:pPr>
      <w:hyperlink r:id="rId216">
        <w:r>
          <w:rPr>
            <w:rStyle w:val="Hyperlink"/>
          </w:rPr>
          <w:t xml:space="preserve">https://en.wikipedia.org/wiki/Vitamin_B12_deficiency</w:t>
        </w:r>
      </w:hyperlink>
    </w:p>
    <w:p>
      <w:pPr>
        <w:pStyle w:val="BodyText"/>
      </w:pPr>
      <w:hyperlink r:id="rId100">
        <w:r>
          <w:rPr>
            <w:rStyle w:val="Hyperlink"/>
          </w:rPr>
          <w:t xml:space="preserve">[81]</w:t>
        </w:r>
      </w:hyperlink>
      <w:r>
        <w:t xml:space="preserve"> </w:t>
      </w:r>
      <w:hyperlink r:id="rId109">
        <w:r>
          <w:rPr>
            <w:rStyle w:val="Hyperlink"/>
          </w:rPr>
          <w:t xml:space="preserve">[89]</w:t>
        </w:r>
      </w:hyperlink>
      <w:r>
        <w:t xml:space="preserve"> </w:t>
      </w:r>
      <w:hyperlink r:id="rId130">
        <w:r>
          <w:rPr>
            <w:rStyle w:val="Hyperlink"/>
          </w:rPr>
          <w:t xml:space="preserve">[107]</w:t>
        </w:r>
      </w:hyperlink>
      <w:r>
        <w:t xml:space="preserve"> </w:t>
      </w:r>
      <w:hyperlink r:id="rId131">
        <w:r>
          <w:rPr>
            <w:rStyle w:val="Hyperlink"/>
          </w:rPr>
          <w:t xml:space="preserve">[108]</w:t>
        </w:r>
      </w:hyperlink>
      <w:r>
        <w:t xml:space="preserve"> </w:t>
      </w:r>
      <w:hyperlink r:id="rId135">
        <w:r>
          <w:rPr>
            <w:rStyle w:val="Hyperlink"/>
          </w:rPr>
          <w:t xml:space="preserve">[112]</w:t>
        </w:r>
      </w:hyperlink>
      <w:r>
        <w:t xml:space="preserve"> </w:t>
      </w:r>
      <w:hyperlink r:id="rId137">
        <w:r>
          <w:rPr>
            <w:rStyle w:val="Hyperlink"/>
          </w:rPr>
          <w:t xml:space="preserve">[114]</w:t>
        </w:r>
      </w:hyperlink>
      <w:r>
        <w:t xml:space="preserve"> </w:t>
      </w:r>
      <w:hyperlink r:id="rId142">
        <w:r>
          <w:rPr>
            <w:rStyle w:val="Hyperlink"/>
          </w:rPr>
          <w:t xml:space="preserve">[119]</w:t>
        </w:r>
      </w:hyperlink>
      <w:r>
        <w:t xml:space="preserve"> </w:t>
      </w:r>
      <w:hyperlink r:id="rId143">
        <w:r>
          <w:rPr>
            <w:rStyle w:val="Hyperlink"/>
          </w:rPr>
          <w:t xml:space="preserve">[120]</w:t>
        </w:r>
      </w:hyperlink>
      <w:r>
        <w:t xml:space="preserve"> </w:t>
      </w:r>
      <w:hyperlink r:id="rId150">
        <w:r>
          <w:rPr>
            <w:rStyle w:val="Hyperlink"/>
          </w:rPr>
          <w:t xml:space="preserve">[127]</w:t>
        </w:r>
      </w:hyperlink>
      <w:r>
        <w:t xml:space="preserve"> </w:t>
      </w:r>
      <w:hyperlink r:id="rId151">
        <w:r>
          <w:rPr>
            <w:rStyle w:val="Hyperlink"/>
          </w:rPr>
          <w:t xml:space="preserve">[128]</w:t>
        </w:r>
      </w:hyperlink>
      <w:r>
        <w:t xml:space="preserve"> </w:t>
      </w:r>
      <w:hyperlink r:id="rId178">
        <w:r>
          <w:rPr>
            <w:rStyle w:val="Hyperlink"/>
          </w:rPr>
          <w:t xml:space="preserve">[155]</w:t>
        </w:r>
      </w:hyperlink>
      <w:r>
        <w:t xml:space="preserve"> </w:t>
      </w:r>
      <w:hyperlink r:id="rId179">
        <w:r>
          <w:rPr>
            <w:rStyle w:val="Hyperlink"/>
          </w:rPr>
          <w:t xml:space="preserve">[156]</w:t>
        </w:r>
      </w:hyperlink>
      <w:r>
        <w:t xml:space="preserve"> </w:t>
      </w:r>
      <w:hyperlink r:id="rId180">
        <w:r>
          <w:rPr>
            <w:rStyle w:val="Hyperlink"/>
          </w:rPr>
          <w:t xml:space="preserve">[157]</w:t>
        </w:r>
      </w:hyperlink>
      <w:r>
        <w:t xml:space="preserve"> </w:t>
      </w:r>
      <w:hyperlink r:id="rId181">
        <w:r>
          <w:rPr>
            <w:rStyle w:val="Hyperlink"/>
          </w:rPr>
          <w:t xml:space="preserve">[158]</w:t>
        </w:r>
      </w:hyperlink>
      <w:r>
        <w:t xml:space="preserve"> </w:t>
      </w:r>
      <w:hyperlink r:id="rId182">
        <w:r>
          <w:rPr>
            <w:rStyle w:val="Hyperlink"/>
          </w:rPr>
          <w:t xml:space="preserve">[159]</w:t>
        </w:r>
      </w:hyperlink>
      <w:r>
        <w:t xml:space="preserve"> </w:t>
      </w:r>
      <w:hyperlink r:id="rId183">
        <w:r>
          <w:rPr>
            <w:rStyle w:val="Hyperlink"/>
          </w:rPr>
          <w:t xml:space="preserve">[160]</w:t>
        </w:r>
      </w:hyperlink>
      <w:r>
        <w:t xml:space="preserve"> </w:t>
      </w:r>
      <w:hyperlink r:id="rId184">
        <w:r>
          <w:rPr>
            <w:rStyle w:val="Hyperlink"/>
          </w:rPr>
          <w:t xml:space="preserve">[161]</w:t>
        </w:r>
      </w:hyperlink>
      <w:r>
        <w:t xml:space="preserve"> </w:t>
      </w:r>
      <w:hyperlink r:id="rId185">
        <w:r>
          <w:rPr>
            <w:rStyle w:val="Hyperlink"/>
          </w:rPr>
          <w:t xml:space="preserve">[162]</w:t>
        </w:r>
      </w:hyperlink>
      <w:r>
        <w:t xml:space="preserve"> </w:t>
      </w:r>
      <w:hyperlink r:id="rId186">
        <w:r>
          <w:rPr>
            <w:rStyle w:val="Hyperlink"/>
          </w:rPr>
          <w:t xml:space="preserve">[163]</w:t>
        </w:r>
      </w:hyperlink>
      <w:r>
        <w:t xml:space="preserve"> </w:t>
      </w:r>
      <w:hyperlink r:id="rId187">
        <w:r>
          <w:rPr>
            <w:rStyle w:val="Hyperlink"/>
          </w:rPr>
          <w:t xml:space="preserve">[164]</w:t>
        </w:r>
      </w:hyperlink>
      <w:r>
        <w:t xml:space="preserve"> </w:t>
      </w:r>
      <w:r>
        <w:t xml:space="preserve">Diagnosis, Treatment and Long-Term Management of Vitamin B12 Deficiency in Adults: A Delphi Expert Consensus</w:t>
      </w:r>
    </w:p>
    <w:p>
      <w:pPr>
        <w:pStyle w:val="BodyText"/>
      </w:pPr>
      <w:hyperlink r:id="rId217">
        <w:r>
          <w:rPr>
            <w:rStyle w:val="Hyperlink"/>
          </w:rPr>
          <w:t xml:space="preserve">https://www.mdpi.com/2077-0383/13/8/2176</w:t>
        </w:r>
      </w:hyperlink>
    </w:p>
    <w:p>
      <w:pPr>
        <w:pStyle w:val="BodyText"/>
      </w:pPr>
      <w:hyperlink r:id="rId103">
        <w:r>
          <w:rPr>
            <w:rStyle w:val="Hyperlink"/>
          </w:rPr>
          <w:t xml:space="preserve">[83]</w:t>
        </w:r>
      </w:hyperlink>
      <w:r>
        <w:t xml:space="preserve"> </w:t>
      </w:r>
      <w:r>
        <w:t xml:space="preserve">Vitamin B12 - Health Professional Fact Sheet</w:t>
      </w:r>
    </w:p>
    <w:p>
      <w:pPr>
        <w:pStyle w:val="BodyText"/>
      </w:pPr>
      <w:hyperlink r:id="rId218">
        <w:r>
          <w:rPr>
            <w:rStyle w:val="Hyperlink"/>
          </w:rPr>
          <w:t xml:space="preserve">https://ods.od.nih.gov/factsheets/VitaminB%E2%82%81%E2%82%82-HealthProfessional/</w:t>
        </w:r>
      </w:hyperlink>
    </w:p>
    <w:p>
      <w:pPr>
        <w:pStyle w:val="BodyText"/>
      </w:pPr>
      <w:hyperlink r:id="rId112">
        <w:r>
          <w:rPr>
            <w:rStyle w:val="Hyperlink"/>
          </w:rPr>
          <w:t xml:space="preserve">[90]</w:t>
        </w:r>
      </w:hyperlink>
      <w:r>
        <w:t xml:space="preserve"> </w:t>
      </w:r>
      <w:r>
        <w:t xml:space="preserve">Testing for Pernicious Anaemia</w:t>
      </w:r>
    </w:p>
    <w:p>
      <w:pPr>
        <w:pStyle w:val="BodyText"/>
      </w:pPr>
      <w:hyperlink r:id="rId219">
        <w:r>
          <w:rPr>
            <w:rStyle w:val="Hyperlink"/>
          </w:rPr>
          <w:t xml:space="preserve">https://pernicious-anaemia-society.org/articles/testing-for-pernicious-anaemia/</w:t>
        </w:r>
      </w:hyperlink>
    </w:p>
    <w:p>
      <w:pPr>
        <w:pStyle w:val="BodyText"/>
      </w:pPr>
      <w:hyperlink r:id="rId113">
        <w:r>
          <w:rPr>
            <w:rStyle w:val="Hyperlink"/>
          </w:rPr>
          <w:t xml:space="preserve">[91]</w:t>
        </w:r>
      </w:hyperlink>
      <w:r>
        <w:t xml:space="preserve"> </w:t>
      </w:r>
      <w:r>
        <w:t xml:space="preserve">Do we need to reconsider the desirable blood level of vitamin B12?</w:t>
      </w:r>
    </w:p>
    <w:p>
      <w:pPr>
        <w:pStyle w:val="BodyText"/>
      </w:pPr>
      <w:hyperlink r:id="rId220">
        <w:r>
          <w:rPr>
            <w:rStyle w:val="Hyperlink"/>
          </w:rPr>
          <w:t xml:space="preserve">https://onlinelibrary.wiley.com/doi/10.1111/j.1365-2796.2011.02485.x</w:t>
        </w:r>
      </w:hyperlink>
    </w:p>
    <w:p>
      <w:pPr>
        <w:pStyle w:val="BodyText"/>
      </w:pPr>
      <w:hyperlink r:id="rId114">
        <w:r>
          <w:rPr>
            <w:rStyle w:val="Hyperlink"/>
          </w:rPr>
          <w:t xml:space="preserve">[92]</w:t>
        </w:r>
      </w:hyperlink>
      <w:r>
        <w:t xml:space="preserve"> </w:t>
      </w:r>
      <w:r>
        <w:t xml:space="preserve">Vitamin B12 | The BMJ</w:t>
      </w:r>
    </w:p>
    <w:p>
      <w:pPr>
        <w:pStyle w:val="BodyText"/>
      </w:pPr>
      <w:hyperlink r:id="rId221">
        <w:r>
          <w:rPr>
            <w:rStyle w:val="Hyperlink"/>
          </w:rPr>
          <w:t xml:space="preserve">https://www.bmj.com/content/383/bmj-2022-071725</w:t>
        </w:r>
      </w:hyperlink>
    </w:p>
    <w:p>
      <w:pPr>
        <w:pStyle w:val="BodyText"/>
      </w:pPr>
      <w:hyperlink r:id="rId115">
        <w:r>
          <w:rPr>
            <w:rStyle w:val="Hyperlink"/>
          </w:rPr>
          <w:t xml:space="preserve">[93]</w:t>
        </w:r>
      </w:hyperlink>
      <w:r>
        <w:t xml:space="preserve"> </w:t>
      </w:r>
      <w:hyperlink r:id="rId116">
        <w:r>
          <w:rPr>
            <w:rStyle w:val="Hyperlink"/>
          </w:rPr>
          <w:t xml:space="preserve">[94]</w:t>
        </w:r>
      </w:hyperlink>
      <w:r>
        <w:t xml:space="preserve"> </w:t>
      </w:r>
      <w:r>
        <w:t xml:space="preserve">Efficacy of different routes of vitamin B12 supplementation for the ...</w:t>
      </w:r>
    </w:p>
    <w:p>
      <w:pPr>
        <w:pStyle w:val="BodyText"/>
      </w:pPr>
      <w:hyperlink r:id="rId222">
        <w:r>
          <w:rPr>
            <w:rStyle w:val="Hyperlink"/>
          </w:rPr>
          <w:t xml:space="preserve">https://pmc.ncbi.nlm.nih.gov/articles/PMC11128391/</w:t>
        </w:r>
      </w:hyperlink>
    </w:p>
    <w:p>
      <w:pPr>
        <w:pStyle w:val="BodyText"/>
      </w:pPr>
      <w:hyperlink r:id="rId117">
        <w:r>
          <w:rPr>
            <w:rStyle w:val="Hyperlink"/>
          </w:rPr>
          <w:t xml:space="preserve">[95]</w:t>
        </w:r>
      </w:hyperlink>
      <w:r>
        <w:t xml:space="preserve"> </w:t>
      </w:r>
      <w:r>
        <w:t xml:space="preserve">Vitamin B12 Deficiency and New Recommendations by the National ...</w:t>
      </w:r>
    </w:p>
    <w:p>
      <w:pPr>
        <w:pStyle w:val="BodyText"/>
      </w:pPr>
      <w:hyperlink r:id="rId223">
        <w:r>
          <w:rPr>
            <w:rStyle w:val="Hyperlink"/>
          </w:rPr>
          <w:t xml:space="preserve">https://academic.oup.com/clinchem/advance-article-abstract/doi/10.1093/clinchem/hvaf037/8098143</w:t>
        </w:r>
      </w:hyperlink>
    </w:p>
    <w:p>
      <w:pPr>
        <w:pStyle w:val="BodyText"/>
      </w:pPr>
      <w:hyperlink r:id="rId118">
        <w:r>
          <w:rPr>
            <w:rStyle w:val="Hyperlink"/>
          </w:rPr>
          <w:t xml:space="preserve">[96]</w:t>
        </w:r>
      </w:hyperlink>
      <w:r>
        <w:t xml:space="preserve"> </w:t>
      </w:r>
      <w:hyperlink r:id="rId173">
        <w:r>
          <w:rPr>
            <w:rStyle w:val="Hyperlink"/>
          </w:rPr>
          <w:t xml:space="preserve">[150]</w:t>
        </w:r>
      </w:hyperlink>
      <w:r>
        <w:t xml:space="preserve"> </w:t>
      </w:r>
      <w:r>
        <w:t xml:space="preserve">[PDF] Vitamin B12 Management In Adults - Nottinghamshire APC</w:t>
      </w:r>
    </w:p>
    <w:p>
      <w:pPr>
        <w:pStyle w:val="BodyText"/>
      </w:pPr>
      <w:hyperlink r:id="rId224">
        <w:r>
          <w:rPr>
            <w:rStyle w:val="Hyperlink"/>
          </w:rPr>
          <w:t xml:space="preserve">https://www.nottsapc.nhs.uk/media/3xufkasz/vitamin-b12-treatment-guideline.pdf</w:t>
        </w:r>
      </w:hyperlink>
    </w:p>
    <w:p>
      <w:pPr>
        <w:pStyle w:val="BodyText"/>
      </w:pPr>
      <w:hyperlink r:id="rId119">
        <w:r>
          <w:rPr>
            <w:rStyle w:val="Hyperlink"/>
          </w:rPr>
          <w:t xml:space="preserve">[97]</w:t>
        </w:r>
      </w:hyperlink>
      <w:r>
        <w:t xml:space="preserve"> </w:t>
      </w:r>
      <w:r>
        <w:t xml:space="preserve">Vitamin B12 deficiency in over 16s: diagnosis and management</w:t>
      </w:r>
    </w:p>
    <w:p>
      <w:pPr>
        <w:pStyle w:val="BodyText"/>
      </w:pPr>
      <w:hyperlink r:id="rId225">
        <w:r>
          <w:rPr>
            <w:rStyle w:val="Hyperlink"/>
          </w:rPr>
          <w:t xml:space="preserve">https://www.nice.org.uk/guidance/ng239/chapter/recommendations</w:t>
        </w:r>
      </w:hyperlink>
    </w:p>
    <w:p>
      <w:pPr>
        <w:pStyle w:val="BodyText"/>
      </w:pPr>
      <w:hyperlink r:id="rId120">
        <w:r>
          <w:rPr>
            <w:rStyle w:val="Hyperlink"/>
          </w:rPr>
          <w:t xml:space="preserve">[98]</w:t>
        </w:r>
      </w:hyperlink>
      <w:r>
        <w:t xml:space="preserve"> </w:t>
      </w:r>
      <w:r>
        <w:t xml:space="preserve">What GPs need to know about NICE's vitamin B12 deficiency guidance</w:t>
      </w:r>
    </w:p>
    <w:p>
      <w:pPr>
        <w:pStyle w:val="BodyText"/>
      </w:pPr>
      <w:hyperlink r:id="rId226">
        <w:r>
          <w:rPr>
            <w:rStyle w:val="Hyperlink"/>
          </w:rPr>
          <w:t xml:space="preserve">https://www.pulsetoday.co.uk/clinical-feature/clinical-areas/gastroenterology-obesity/what-gps-need-to-know-about-nices-vitamin-b12-deficiency-guidance/</w:t>
        </w:r>
      </w:hyperlink>
    </w:p>
    <w:p>
      <w:pPr>
        <w:pStyle w:val="BodyText"/>
      </w:pPr>
      <w:hyperlink r:id="rId121">
        <w:r>
          <w:rPr>
            <w:rStyle w:val="Hyperlink"/>
          </w:rPr>
          <w:t xml:space="preserve">[99]</w:t>
        </w:r>
      </w:hyperlink>
      <w:r>
        <w:t xml:space="preserve"> </w:t>
      </w:r>
      <w:r>
        <w:t xml:space="preserve">[PDF] Active B12 assay for diagnosing vitamin B12 deficiency | NICE</w:t>
      </w:r>
    </w:p>
    <w:p>
      <w:pPr>
        <w:pStyle w:val="BodyText"/>
      </w:pPr>
      <w:hyperlink r:id="rId227">
        <w:r>
          <w:rPr>
            <w:rStyle w:val="Hyperlink"/>
          </w:rPr>
          <w:t xml:space="preserve">https://www.nice.org.uk/guidance/mib40/resources/active-b12-assay-for-diagnosing-vitamin-b12-deficiency-pdf-63499159342789</w:t>
        </w:r>
      </w:hyperlink>
    </w:p>
    <w:p>
      <w:pPr>
        <w:pStyle w:val="BodyText"/>
      </w:pPr>
      <w:hyperlink r:id="rId122">
        <w:r>
          <w:rPr>
            <w:rStyle w:val="Hyperlink"/>
          </w:rPr>
          <w:t xml:space="preserve">[100]</w:t>
        </w:r>
      </w:hyperlink>
      <w:r>
        <w:t xml:space="preserve"> </w:t>
      </w:r>
      <w:r>
        <w:t xml:space="preserve">NICE publishes new guideline on managing vitamin B12 deficiency</w:t>
      </w:r>
    </w:p>
    <w:p>
      <w:pPr>
        <w:pStyle w:val="BodyText"/>
      </w:pPr>
      <w:hyperlink r:id="rId228">
        <w:r>
          <w:rPr>
            <w:rStyle w:val="Hyperlink"/>
          </w:rPr>
          <w:t xml:space="preserve">https://wchh.onlinelibrary.wiley.com/do/10.1002/psb.0010149</w:t>
        </w:r>
      </w:hyperlink>
    </w:p>
    <w:p>
      <w:pPr>
        <w:pStyle w:val="BodyText"/>
      </w:pPr>
      <w:hyperlink r:id="rId125">
        <w:r>
          <w:rPr>
            <w:rStyle w:val="Hyperlink"/>
          </w:rPr>
          <w:t xml:space="preserve">[103]</w:t>
        </w:r>
      </w:hyperlink>
      <w:r>
        <w:t xml:space="preserve"> </w:t>
      </w:r>
      <w:hyperlink r:id="rId126">
        <w:r>
          <w:rPr>
            <w:rStyle w:val="Hyperlink"/>
          </w:rPr>
          <w:t xml:space="preserve">[104]</w:t>
        </w:r>
      </w:hyperlink>
      <w:r>
        <w:t xml:space="preserve"> </w:t>
      </w:r>
      <w:r>
        <w:t xml:space="preserve">Overview | Vitamin B12 deficiency in over 16s: diagnosis and management | Guidance | NICE</w:t>
      </w:r>
    </w:p>
    <w:p>
      <w:pPr>
        <w:pStyle w:val="BodyText"/>
      </w:pPr>
      <w:hyperlink r:id="rId229">
        <w:r>
          <w:rPr>
            <w:rStyle w:val="Hyperlink"/>
          </w:rPr>
          <w:t xml:space="preserve">https://www.nice.org.uk/guidance/ng239</w:t>
        </w:r>
      </w:hyperlink>
    </w:p>
    <w:p>
      <w:pPr>
        <w:pStyle w:val="BodyText"/>
      </w:pPr>
      <w:hyperlink r:id="rId174">
        <w:r>
          <w:rPr>
            <w:rStyle w:val="Hyperlink"/>
          </w:rPr>
          <w:t xml:space="preserve">[151]</w:t>
        </w:r>
      </w:hyperlink>
      <w:r>
        <w:t xml:space="preserve"> </w:t>
      </w:r>
      <w:r>
        <w:t xml:space="preserve">[PDF] Position Statement: Treatment of diagnosed vitamin B12 deficiency</w:t>
      </w:r>
    </w:p>
    <w:p>
      <w:pPr>
        <w:pStyle w:val="BodyText"/>
      </w:pPr>
      <w:hyperlink r:id="rId230">
        <w:r>
          <w:rPr>
            <w:rStyle w:val="Hyperlink"/>
          </w:rPr>
          <w:t xml:space="preserve">https://www.hweclinicalguidance.nhs.uk/all-clinical-areas-documents/download?cid=2951&amp;checksum=02180771a9b609a26dcea07f272e141f</w:t>
        </w:r>
      </w:hyperlink>
    </w:p>
    <w:p>
      <w:pPr>
        <w:pStyle w:val="BodyText"/>
      </w:pPr>
      <w:hyperlink r:id="rId175">
        <w:r>
          <w:rPr>
            <w:rStyle w:val="Hyperlink"/>
          </w:rPr>
          <w:t xml:space="preserve">[152]</w:t>
        </w:r>
      </w:hyperlink>
      <w:r>
        <w:t xml:space="preserve"> </w:t>
      </w:r>
      <w:r>
        <w:t xml:space="preserve">How I treat cobalamin (vitamin B12) deficiency - ASH Publications</w:t>
      </w:r>
    </w:p>
    <w:p>
      <w:pPr>
        <w:pStyle w:val="BodyText"/>
      </w:pPr>
      <w:hyperlink r:id="rId231">
        <w:r>
          <w:rPr>
            <w:rStyle w:val="Hyperlink"/>
          </w:rPr>
          <w:t xml:space="preserve">https://ashpublications.org/blood/article/112/6/2214/24841/How-I-treat-cobalamin-vitamin-B12-deficiency</w:t>
        </w:r>
      </w:hyperlink>
    </w:p>
    <w:p>
      <w:pPr>
        <w:pStyle w:val="BodyText"/>
      </w:pPr>
      <w:hyperlink r:id="rId188">
        <w:r>
          <w:rPr>
            <w:rStyle w:val="Hyperlink"/>
          </w:rPr>
          <w:t xml:space="preserve">[165]</w:t>
        </w:r>
      </w:hyperlink>
      <w:r>
        <w:t xml:space="preserve"> </w:t>
      </w:r>
      <w:r>
        <w:t xml:space="preserve">The Revised D‐A‐CH‐Reference Values for the Intake of Vitamin B12</w:t>
      </w:r>
    </w:p>
    <w:p>
      <w:pPr>
        <w:pStyle w:val="BodyText"/>
      </w:pPr>
      <w:hyperlink r:id="rId232">
        <w:r>
          <w:rPr>
            <w:rStyle w:val="Hyperlink"/>
          </w:rPr>
          <w:t xml:space="preserve">https://pmc.ncbi.nlm.nih.gov/articles/PMC6590120/</w:t>
        </w:r>
      </w:hyperlink>
    </w:p>
    <w:p>
      <w:pPr>
        <w:pStyle w:val="BodyText"/>
      </w:pPr>
      <w:hyperlink r:id="rId189">
        <w:r>
          <w:rPr>
            <w:rStyle w:val="Hyperlink"/>
          </w:rPr>
          <w:t xml:space="preserve">[166]</w:t>
        </w:r>
      </w:hyperlink>
      <w:r>
        <w:t xml:space="preserve"> </w:t>
      </w:r>
      <w:r>
        <w:t xml:space="preserve">The Revised D‐A‐CH‐Reference Values for the Intake of Vitamin B12</w:t>
      </w:r>
    </w:p>
    <w:p>
      <w:pPr>
        <w:pStyle w:val="BodyText"/>
      </w:pPr>
      <w:hyperlink r:id="rId233">
        <w:r>
          <w:rPr>
            <w:rStyle w:val="Hyperlink"/>
          </w:rPr>
          <w:t xml:space="preserve">https://www.researchgate.net/publication/330486944_The_Revised_D-A-CH-Reference_Values_for_the_Intake_of_Vitamin_B12_Prevention_of_Deficiency_and_Beyond</w:t>
        </w:r>
      </w:hyperlink>
    </w:p>
    <w:p>
      <w:pPr>
        <w:pStyle w:val="BodyText"/>
      </w:pPr>
      <w:hyperlink r:id="rId190">
        <w:r>
          <w:rPr>
            <w:rStyle w:val="Hyperlink"/>
          </w:rPr>
          <w:t xml:space="preserve">[167]</w:t>
        </w:r>
      </w:hyperlink>
      <w:r>
        <w:t xml:space="preserve"> </w:t>
      </w:r>
      <w:r>
        <w:t xml:space="preserve">Diagnosis - B12 institute</w:t>
      </w:r>
    </w:p>
    <w:p>
      <w:pPr>
        <w:pStyle w:val="BodyText"/>
      </w:pPr>
      <w:hyperlink r:id="rId234">
        <w:r>
          <w:rPr>
            <w:rStyle w:val="Hyperlink"/>
          </w:rPr>
          <w:t xml:space="preserve">https://b12-institute.nl/en/diagnosis/</w:t>
        </w:r>
      </w:hyperlink>
    </w:p>
    <w:p>
      <w:pPr>
        <w:pStyle w:val="BodyText"/>
      </w:pPr>
      <w:hyperlink r:id="rId192">
        <w:r>
          <w:rPr>
            <w:rStyle w:val="Hyperlink"/>
          </w:rPr>
          <w:t xml:space="preserve">[169]</w:t>
        </w:r>
      </w:hyperlink>
      <w:r>
        <w:t xml:space="preserve"> </w:t>
      </w:r>
      <w:r>
        <w:t xml:space="preserve">State of Art of Oral Vitamin B12 (Cobalamin) in Biermer's Disease ...</w:t>
      </w:r>
    </w:p>
    <w:p>
      <w:pPr>
        <w:pStyle w:val="BodyText"/>
      </w:pPr>
      <w:hyperlink r:id="rId235">
        <w:r>
          <w:rPr>
            <w:rStyle w:val="Hyperlink"/>
          </w:rPr>
          <w:t xml:space="preserve">https://japanjournalofmedicine.com/state-of-art-of-oral-vitamin-b12-cobalamin-in-biermers-disease-pernicious-anemia</w:t>
        </w:r>
      </w:hyperlink>
    </w:p>
    <w:p>
      <w:pPr>
        <w:pStyle w:val="BodyText"/>
      </w:pPr>
      <w:hyperlink r:id="rId193">
        <w:r>
          <w:rPr>
            <w:rStyle w:val="Hyperlink"/>
          </w:rPr>
          <w:t xml:space="preserve">[170]</w:t>
        </w:r>
      </w:hyperlink>
      <w:r>
        <w:t xml:space="preserve"> </w:t>
      </w:r>
      <w:r>
        <w:t xml:space="preserve">[PDF] Vitamin B12 - advice on investigation management</w:t>
      </w:r>
    </w:p>
    <w:p>
      <w:pPr>
        <w:pStyle w:val="BodyText"/>
      </w:pPr>
      <w:hyperlink r:id="rId236">
        <w:r>
          <w:rPr>
            <w:rStyle w:val="Hyperlink"/>
          </w:rPr>
          <w:t xml:space="preserve">https://nhssomerset.nhs.uk/news/document/b12_-_advice_on_investigation_management/</w:t>
        </w:r>
      </w:hyperlink>
    </w:p>
    <w:p>
      <w:pPr>
        <w:pStyle w:val="BodyText"/>
      </w:pPr>
      <w:hyperlink r:id="rId195">
        <w:r>
          <w:rPr>
            <w:rStyle w:val="Hyperlink"/>
          </w:rPr>
          <w:t xml:space="preserve">[172]</w:t>
        </w:r>
      </w:hyperlink>
      <w:r>
        <w:t xml:space="preserve"> </w:t>
      </w:r>
      <w:r>
        <w:t xml:space="preserve">What is a normal vitamin B12 (cobalamin) level? - Dr.Oracle AI</w:t>
      </w:r>
    </w:p>
    <w:p>
      <w:pPr>
        <w:pStyle w:val="BodyText"/>
      </w:pPr>
      <w:hyperlink r:id="rId237">
        <w:r>
          <w:rPr>
            <w:rStyle w:val="Hyperlink"/>
          </w:rPr>
          <w:t xml:space="preserve">https://www.droracle.ai/articles/88503/what-is-a-normal-b12-level</w:t>
        </w:r>
      </w:hyperlink>
    </w:p>
    <w:p>
      <w:pPr>
        <w:pStyle w:val="BodyText"/>
      </w:pPr>
      <w:hyperlink r:id="rId196">
        <w:r>
          <w:rPr>
            <w:rStyle w:val="Hyperlink"/>
          </w:rPr>
          <w:t xml:space="preserve">[173]</w:t>
        </w:r>
      </w:hyperlink>
      <w:r>
        <w:t xml:space="preserve"> </w:t>
      </w:r>
      <w:r>
        <w:t xml:space="preserve">Everything You Need to Know about Vitamin B12</w:t>
      </w:r>
    </w:p>
    <w:p>
      <w:pPr>
        <w:pStyle w:val="BodyText"/>
      </w:pPr>
      <w:hyperlink r:id="rId238">
        <w:r>
          <w:rPr>
            <w:rStyle w:val="Hyperlink"/>
          </w:rPr>
          <w:t xml:space="preserve">https://www.clancymedicalgroup.com/vitamin-b12/</w:t>
        </w:r>
      </w:hyperlink>
    </w:p>
    <w:p>
      <w:pPr>
        <w:pStyle w:val="BodyText"/>
      </w:pPr>
      <w:hyperlink r:id="rId206">
        <w:r>
          <w:rPr>
            <w:rStyle w:val="Hyperlink"/>
          </w:rPr>
          <w:t xml:space="preserve">[182]</w:t>
        </w:r>
      </w:hyperlink>
      <w:r>
        <w:t xml:space="preserve"> </w:t>
      </w:r>
      <w:r>
        <w:t xml:space="preserve">Population Status of Vitamin B12 Values in the General ... - MDPI</w:t>
      </w:r>
    </w:p>
    <w:p>
      <w:pPr>
        <w:pStyle w:val="BodyText"/>
      </w:pPr>
      <w:hyperlink r:id="rId239">
        <w:r>
          <w:rPr>
            <w:rStyle w:val="Hyperlink"/>
          </w:rPr>
          <w:t xml:space="preserve">https://www.mdpi.com/2072-6643/15/10/2357</w:t>
        </w:r>
      </w:hyperlink>
    </w:p>
    <w:bookmarkEnd w:id="2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0" Target="file://file_00000000bde861f5aabab1a3120efa52" TargetMode="External" /><Relationship Type="http://schemas.openxmlformats.org/officeDocument/2006/relationships/hyperlink" Id="rId99" Target="file://file_00000000bde861f5aabab1a3120efa52#:~:text=%28pseudo,Deficiency%20with%20Normal%20Serum%20B12" TargetMode="External" /><Relationship Type="http://schemas.openxmlformats.org/officeDocument/2006/relationships/hyperlink" Id="rId144" Target="file://file_00000000bde861f5aabab1a3120efa52#:~:text=%5B370%5D%20HOCbl%3A%202" TargetMode="External" /><Relationship Type="http://schemas.openxmlformats.org/officeDocument/2006/relationships/hyperlink" Id="rId166" Target="file://file_00000000bde861f5aabab1a3120efa52#:~:text=%5B373%5D%20HOCbl%3A%2056,retained" TargetMode="External" /><Relationship Type="http://schemas.openxmlformats.org/officeDocument/2006/relationships/hyperlink" Id="rId138" Target="file://file_00000000bde861f5aabab1a3120efa52#:~:text=,5" TargetMode="External" /><Relationship Type="http://schemas.openxmlformats.org/officeDocument/2006/relationships/hyperlink" Id="rId63" Target="file://file_00000000bde861f5aabab1a3120efa52#:~:text=,Gr%C3%A4sbeck" TargetMode="External" /><Relationship Type="http://schemas.openxmlformats.org/officeDocument/2006/relationships/hyperlink" Id="rId164" Target="file://file_00000000bde861f5aabab1a3120efa52#:~:text=,adenosyl%20group%20is" TargetMode="External" /><Relationship Type="http://schemas.openxmlformats.org/officeDocument/2006/relationships/hyperlink" Id="rId161" Target="file://file_00000000bde861f5aabab1a3120efa52#:~:text=,adenosyl%20group%20is%20cleaved" TargetMode="External" /><Relationship Type="http://schemas.openxmlformats.org/officeDocument/2006/relationships/hyperlink" Id="rId167" Target="file://file_00000000bde861f5aabab1a3120efa52#:~:text=,dose%20supplementation%20%5B373" TargetMode="External" /><Relationship Type="http://schemas.openxmlformats.org/officeDocument/2006/relationships/hyperlink" Id="rId162" Target="file://file_00000000bde861f5aabab1a3120efa52#:~:text=,is%20cleaved%20before%20intracellular%20use" TargetMode="External" /><Relationship Type="http://schemas.openxmlformats.org/officeDocument/2006/relationships/hyperlink" Id="rId157" Target="file://file_00000000bde861f5aabab1a3120efa52#:~:text=,studied%20safety%20profile" TargetMode="External" /><Relationship Type="http://schemas.openxmlformats.org/officeDocument/2006/relationships/hyperlink" Id="rId177" Target="file://file_00000000bde861f5aabab1a3120efa52#:~:text=1%E2%80%932%20mg%20daily%20oral%20CN,Western%20Europe%2C%20tailored%20to%20clinical" TargetMode="External" /><Relationship Type="http://schemas.openxmlformats.org/officeDocument/2006/relationships/hyperlink" Id="rId62" Target="file://file_00000000bde861f5aabab1a3120efa52#:~:text=1,51" TargetMode="External" /><Relationship Type="http://schemas.openxmlformats.org/officeDocument/2006/relationships/hyperlink" Id="rId199" Target="file://file_00000000bde861f5aabab1a3120efa52#:~:text=1,cm%20proximal%20to%20incisura%20angularis" TargetMode="External" /><Relationship Type="http://schemas.openxmlformats.org/officeDocument/2006/relationships/hyperlink" Id="rId44" Target="file://file_00000000bde861f5aabab1a3120efa52#:~:text=1.%20Etiology%20shift%3A%20FBCM%20%2850%E2%80%9370,and" TargetMode="External" /><Relationship Type="http://schemas.openxmlformats.org/officeDocument/2006/relationships/hyperlink" Id="rId49" Target="file://file_00000000bde861f5aabab1a3120efa52#:~:text=1.%20Etiology%20shift%3A%20Food,validated%20as" TargetMode="External" /><Relationship Type="http://schemas.openxmlformats.org/officeDocument/2006/relationships/hyperlink" Id="rId43" Target="file://file_00000000bde861f5aabab1a3120efa52#:~:text=1.%20Food,1" TargetMode="External" /><Relationship Type="http://schemas.openxmlformats.org/officeDocument/2006/relationships/hyperlink" Id="rId104" Target="file://file_00000000bde861f5aabab1a3120efa52#:~:text=1.%20Hyperhomocysteinemia,Indirect%20Effects" TargetMode="External" /><Relationship Type="http://schemas.openxmlformats.org/officeDocument/2006/relationships/hyperlink" Id="rId172" Target="file://file_00000000bde861f5aabab1a3120efa52#:~:text=10,1%20mg%20IM%20every%202%E2%80%933" TargetMode="External" /><Relationship Type="http://schemas.openxmlformats.org/officeDocument/2006/relationships/hyperlink" Id="rId53" Target="file://file_00000000bde861f5aabab1a3120efa52#:~:text=2.%20Metformin,and" TargetMode="External" /><Relationship Type="http://schemas.openxmlformats.org/officeDocument/2006/relationships/hyperlink" Id="rId50" Target="file://file_00000000bde861f5aabab1a3120efa52#:~:text=3,without%20supplementation" TargetMode="External" /><Relationship Type="http://schemas.openxmlformats.org/officeDocument/2006/relationships/hyperlink" Id="rId64" Target="file://file_00000000bde861f5aabab1a3120efa52#:~:text=3.%20Dietary%20Insufficiency%3A%202%E2%80%935,1" TargetMode="External" /><Relationship Type="http://schemas.openxmlformats.org/officeDocument/2006/relationships/hyperlink" Id="rId171" Target="file://file_00000000bde861f5aabab1a3120efa52#:~:text=4,individualized%20treatment%20based%20on%20severity%2Fetiology" TargetMode="External" /><Relationship Type="http://schemas.openxmlformats.org/officeDocument/2006/relationships/hyperlink" Id="rId200" Target="file://file_00000000bde861f5aabab1a3120efa52#:~:text=5.%20Pseudo,110" TargetMode="External" /><Relationship Type="http://schemas.openxmlformats.org/officeDocument/2006/relationships/hyperlink" Id="rId106" Target="file://file_00000000bde861f5aabab1a3120efa52#:~:text=9.%20Autoimmune%20associations%3A%2027,245" TargetMode="External" /><Relationship Type="http://schemas.openxmlformats.org/officeDocument/2006/relationships/hyperlink" Id="rId57" Target="file://file_00000000bde861f5aabab1a3120efa52#:~:text=Annual%20B12%20screening%20recommended%20for,68" TargetMode="External" /><Relationship Type="http://schemas.openxmlformats.org/officeDocument/2006/relationships/hyperlink" Id="rId59" Target="file://file_00000000bde861f5aabab1a3120efa52#:~:text=Autoimmune%20pernicious%20anemia%20%28anti,Gr%C3%A4sbeck" TargetMode="External" /><Relationship Type="http://schemas.openxmlformats.org/officeDocument/2006/relationships/hyperlink" Id="rId194" Target="file://file_00000000bde861f5aabab1a3120efa52#:~:text=Brazil%20No%20national%20uniform%20guideline,integrate%20clinical%20features%20and%20multiple" TargetMode="External" /><Relationship Type="http://schemas.openxmlformats.org/officeDocument/2006/relationships/hyperlink" Id="rId46" Target="file://file_00000000bde861f5aabab1a3120efa52#:~:text=Causes%20of%20false,antigens%20and%20gastric%20H%2B%2FK%2B%20ATPase" TargetMode="External" /><Relationship Type="http://schemas.openxmlformats.org/officeDocument/2006/relationships/hyperlink" Id="rId60" Target="file://file_00000000bde861f5aabab1a3120efa52#:~:text=Chronic%20metformin%20users%20,bariatric%20surgery%20Atrophic%20gastritis" TargetMode="External" /><Relationship Type="http://schemas.openxmlformats.org/officeDocument/2006/relationships/hyperlink" Id="rId47" Target="file://file_00000000bde861f5aabab1a3120efa52#:~:text=Clinical%20significance%3A%20Positive%20APCA%20should,212" TargetMode="External" /><Relationship Type="http://schemas.openxmlformats.org/officeDocument/2006/relationships/hyperlink" Id="rId133" Target="file://file_00000000bde861f5aabab1a3120efa52#:~:text=Comprehensive%20Treatment%20Overview%20Intramuscular%20,Doses%20of%201%E2%80%932%20mg%20daily" TargetMode="External" /><Relationship Type="http://schemas.openxmlformats.org/officeDocument/2006/relationships/hyperlink" Id="rId132" Target="file://file_00000000bde861f5aabab1a3120efa52#:~:text=Country%20Preferred%20Route%20Highlights%20US%2FUK,IM%20reserved%20for%20neuro%20cases" TargetMode="External" /><Relationship Type="http://schemas.openxmlformats.org/officeDocument/2006/relationships/hyperlink" Id="rId123" Target="file://file_00000000bde861f5aabab1a3120efa52#:~:text=Estimated%20prevalence%20of%20false,250" TargetMode="External" /><Relationship Type="http://schemas.openxmlformats.org/officeDocument/2006/relationships/hyperlink" Id="rId48" Target="file://file_00000000bde861f5aabab1a3120efa52#:~:text=General%20population%20prevalence%3A%200.1,%28increasing%20trend%29%20%5B243%5D%20%5B244" TargetMode="External" /><Relationship Type="http://schemas.openxmlformats.org/officeDocument/2006/relationships/hyperlink" Id="rId169" Target="file://file_00000000bde861f5aabab1a3120efa52#:~:text=Germany%2FNetherlands%20IM%20for%20confirmed%2C%20oral,Europe%2C%20tailored%20to%20clinical%20response" TargetMode="External" /><Relationship Type="http://schemas.openxmlformats.org/officeDocument/2006/relationships/hyperlink" Id="rId40" Target="file://file_00000000bde861f5aabab1a3120efa52#:~:text=Global%20Patterns%3A%20Marginal%20deficiency%20rates,include%20older%20adults%2C%20children%2C%20pregnant" TargetMode="External" /><Relationship Type="http://schemas.openxmlformats.org/officeDocument/2006/relationships/hyperlink" Id="rId34" Target="file://file_00000000bde861f5aabab1a3120efa52#:~:text=Global%20Prevalence%20General%20population%3A%203%E2%80%936,60%20years%29.%20%5B55" TargetMode="External" /><Relationship Type="http://schemas.openxmlformats.org/officeDocument/2006/relationships/hyperlink" Id="rId35" Target="file://file_00000000bde861f5aabab1a3120efa52#:~:text=Global%20Prevalence%20of%20B12%20Deficiency,in%20adults%2020%E2%80%9359%20years" TargetMode="External" /><Relationship Type="http://schemas.openxmlformats.org/officeDocument/2006/relationships/hyperlink" Id="rId41" Target="file://file_00000000bde861f5aabab1a3120efa52#:~:text=Global%20prevalence%3A%20Food,This%20reflects%20aging" TargetMode="External" /><Relationship Type="http://schemas.openxmlformats.org/officeDocument/2006/relationships/hyperlink" Id="rId94" Target="file://file_00000000bde861f5aabab1a3120efa52#:~:text=Hemolytic%20anemia%3A%201.5,73" TargetMode="External" /><Relationship Type="http://schemas.openxmlformats.org/officeDocument/2006/relationships/hyperlink" Id="rId191" Target="file://file_00000000bde861f5aabab1a3120efa52#:~:text=IM%20for%20severe%2C%20oral%20for,148%20pmol%2FL%20and%20symptoms" TargetMode="External" /><Relationship Type="http://schemas.openxmlformats.org/officeDocument/2006/relationships/hyperlink" Id="rId168" Target="file://file_00000000bde861f5aabab1a3120efa52#:~:text=IM%20for%20severe%2Fneuro%2C%20oral%20for,neuro%20cases%20Australia%20Age%2FSeverity%20tailored" TargetMode="External" /><Relationship Type="http://schemas.openxmlformats.org/officeDocument/2006/relationships/hyperlink" Id="rId176" Target="file://file_00000000bde861f5aabab1a3120efa52#:~:text=IM%20hydroxocobalamin%201%20mg%20every,when%20stable%3B%20oral%20for%20mild%2Fsubclinical" TargetMode="External" /><Relationship Type="http://schemas.openxmlformats.org/officeDocument/2006/relationships/hyperlink" Id="rId75" Target="file://file_00000000bde861f5aabab1a3120efa52#:~:text=Inappropriately%20low%20reticulocyte%20count%20,IM%20B12%E2%80%94not%20after%20plasma%20exchange" TargetMode="External" /><Relationship Type="http://schemas.openxmlformats.org/officeDocument/2006/relationships/hyperlink" Id="rId83" Target="file://file_00000000bde861f5aabab1a3120efa52#:~:text=Inappropriately%20low%20reticulocyte%20count%20,classic%20TTP" TargetMode="External" /><Relationship Type="http://schemas.openxmlformats.org/officeDocument/2006/relationships/hyperlink" Id="rId61" Target="file://file_00000000bde861f5aabab1a3120efa52#:~:text=Increased%20B12%20deficiency%20in%20type,susceptibility%2C%20recommend%20periodic%20B12%20screening" TargetMode="External" /><Relationship Type="http://schemas.openxmlformats.org/officeDocument/2006/relationships/hyperlink" Id="rId32" Target="file://file_00000000bde861f5aabab1a3120efa52#:~:text=Long,59" TargetMode="External" /><Relationship Type="http://schemas.openxmlformats.org/officeDocument/2006/relationships/hyperlink" Id="rId45" Target="file://file_00000000bde861f5aabab1a3120efa52#:~:text=Low%20Intake%3A%20Prevalent%20in%20vegetarians%2Fvegans%2C,Gr%C3%A4sbeck" TargetMode="External" /><Relationship Type="http://schemas.openxmlformats.org/officeDocument/2006/relationships/hyperlink" Id="rId24" Target="file://file_00000000bde861f5aabab1a3120efa52#:~:text=Low%20Intake%3A%20Prevalent%20in%20vegetarians%2Fvegans%2C,dependent" TargetMode="External" /><Relationship Type="http://schemas.openxmlformats.org/officeDocument/2006/relationships/hyperlink" Id="rId77" Target="file://file_00000000bde861f5aabab1a3120efa52#:~:text=Markedly%20low%20B12%20%28,not%20in%20TTP" TargetMode="External" /><Relationship Type="http://schemas.openxmlformats.org/officeDocument/2006/relationships/hyperlink" Id="rId55" Target="file://file_00000000bde861f5aabab1a3120efa52#:~:text=Metformin%20Users%20%2F%20PPI%20Users,Bariatric%20Surgery%20Smokers" TargetMode="External" /><Relationship Type="http://schemas.openxmlformats.org/officeDocument/2006/relationships/hyperlink" Id="rId92" Target="file://file_00000000bde861f5aabab1a3120efa52#:~:text=Monitor%20for%20rapid%20hematological%20and,TTP%20once%20B12" TargetMode="External" /><Relationship Type="http://schemas.openxmlformats.org/officeDocument/2006/relationships/hyperlink" Id="rId84" Target="file://file_00000000bde861f5aabab1a3120efa52#:~:text=Normal%2Fmildly%20reduced%20ADAMTS13%20%28%3E10,not%20in%20TTP" TargetMode="External" /><Relationship Type="http://schemas.openxmlformats.org/officeDocument/2006/relationships/hyperlink" Id="rId82" Target="file://file_00000000bde861f5aabab1a3120efa52#:~:text=Pancytopenia%20may%20coexist%20,classic%20TTP" TargetMode="External" /><Relationship Type="http://schemas.openxmlformats.org/officeDocument/2006/relationships/hyperlink" Id="rId107" Target="file://file_00000000bde861f5aabab1a3120efa52#:~:text=Prevalence%20of%20APCA%20positivity%3A%2021.4,in%20Indonesian%20dyspepsia%20patients%20screened" TargetMode="External" /><Relationship Type="http://schemas.openxmlformats.org/officeDocument/2006/relationships/hyperlink" Id="rId79" Target="file://file_00000000bde861f5aabab1a3120efa52#:~:text=Pseudo,Schistocytes%20on%20peripheral%20smear" TargetMode="External" /><Relationship Type="http://schemas.openxmlformats.org/officeDocument/2006/relationships/hyperlink" Id="rId33" Target="file://file_00000000bde861f5aabab1a3120efa52#:~:text=Pseudo,severe%20ADAMTS13%20deficiency%20or%20requirement" TargetMode="External" /><Relationship Type="http://schemas.openxmlformats.org/officeDocument/2006/relationships/hyperlink" Id="rId58" Target="file://file_00000000bde861f5aabab1a3120efa52#:~:text=Screen%20high,specific%20symptoms%20warrant%20B12%20assessment" TargetMode="External" /><Relationship Type="http://schemas.openxmlformats.org/officeDocument/2006/relationships/hyperlink" Id="rId139" Target="file://file_00000000bde861f5aabab1a3120efa52#:~:text=Sublingual%20B12%3A%20Effective%20in%20mild%2Fsubclinical,pdf%20page%204%20of%2064" TargetMode="External" /><Relationship Type="http://schemas.openxmlformats.org/officeDocument/2006/relationships/hyperlink" Id="rId91" Target="file://file_00000000bde861f5aabab1a3120efa52#:~:text=Suspect%20pseudo,86" TargetMode="External" /><Relationship Type="http://schemas.openxmlformats.org/officeDocument/2006/relationships/hyperlink" Id="rId81" Target="file://file_00000000bde861f5aabab1a3120efa52#:~:text=Suspect%20pseudo,TMA%20with%20macrocytosis%20before%20plasmapheresis" TargetMode="External" /><Relationship Type="http://schemas.openxmlformats.org/officeDocument/2006/relationships/hyperlink" Id="rId76" Target="file://file_00000000bde861f5aabab1a3120efa52#:~:text=TTP,not%20seen%20in%20TTP" TargetMode="External" /><Relationship Type="http://schemas.openxmlformats.org/officeDocument/2006/relationships/hyperlink" Id="rId108" Target="file://file_00000000bde861f5aabab1a3120efa52#:~:text=Type%201%20Diabetes%20Mellitus%20,likely%20underestimated" TargetMode="External" /><Relationship Type="http://schemas.openxmlformats.org/officeDocument/2006/relationships/hyperlink" Id="rId90" Target="file://file_00000000bde861f5aabab1a3120efa52#:~:text=Up%20to%2040%25%20of%20pseudo,presentations%20with%20macrocytosis%20and%20mild" TargetMode="External" /><Relationship Type="http://schemas.openxmlformats.org/officeDocument/2006/relationships/hyperlink" Id="rId73" Target="file://file_00000000bde861f5aabab1a3120efa52#:~:text=Usually%20part%20of%20pancytopenia%20in,for%20detecting%20B12%20deficiency" TargetMode="External" /><Relationship Type="http://schemas.openxmlformats.org/officeDocument/2006/relationships/hyperlink" Id="rId52" Target="file://file_00000000bde861f5aabab1a3120efa52#:~:text=b%29%20Metformin%20Use%3A%20Estimated%2010%E2%80%9325,Other%20FBCM%20causes" TargetMode="External" /><Relationship Type="http://schemas.openxmlformats.org/officeDocument/2006/relationships/hyperlink" Id="rId197" Target="file://file_00000000bde861f5aabab1a3120efa52#:~:text=borderline%20IM%2FSC%20loading%20doses%2C%20oral,Western%20Europe%2C%20tailored%20to%20clinical" TargetMode="External" /><Relationship Type="http://schemas.openxmlformats.org/officeDocument/2006/relationships/hyperlink" Id="rId23" Target="file://file_00000000bde861f5aabab1a3120efa52#:~:text=function%2C%20and%20red%20blood%20cell,impairs%20myelin%20integrity%20and%20blood" TargetMode="External" /><Relationship Type="http://schemas.openxmlformats.org/officeDocument/2006/relationships/hyperlink" Id="rId21" Target="file://file_00000000bde861f5aabab1a3120efa52#:~:text=further%20depend%20on%20transporters%20and,leading%20to%20varied%20clinical%20presentations" TargetMode="External" /><Relationship Type="http://schemas.openxmlformats.org/officeDocument/2006/relationships/hyperlink" Id="rId67" Target="file://file_00000000bde861f5aabab1a3120efa52#:~:text=markers,risk%20populations" TargetMode="External" /><Relationship Type="http://schemas.openxmlformats.org/officeDocument/2006/relationships/hyperlink" Id="rId124" Target="file://file_00000000bde861f5aabab1a3120efa52#:~:text=markers,risk%20populations.%20%5B5%5D%20%5B2" TargetMode="External" /><Relationship Type="http://schemas.openxmlformats.org/officeDocument/2006/relationships/hyperlink" Id="rId86" Target="file://file_00000000bde861f5aabab1a3120efa52#:~:text=match%20at%20L1505%20Normal%2Fmildly%20reduced,not%20in%20TTP" TargetMode="External" /><Relationship Type="http://schemas.openxmlformats.org/officeDocument/2006/relationships/hyperlink" Id="rId80" Target="file://file_00000000bde861f5aabab1a3120efa52#:~:text=match%20at%20L182%20Inappropriately%20low,IM%20B12%E2%80%94not%20after%20plasma%20exchange" TargetMode="External" /><Relationship Type="http://schemas.openxmlformats.org/officeDocument/2006/relationships/hyperlink" Id="rId89" Target="file://file_00000000bde861f5aabab1a3120efa52#:~:text=match%20at%20L187%20Up%20to,presentations%20with%20macrocytosis%20and%20mild" TargetMode="External" /><Relationship Type="http://schemas.openxmlformats.org/officeDocument/2006/relationships/hyperlink" Id="rId155" Target="file://file_00000000bde861f5aabab1a3120efa52#:~:text=match%20at%20L1984%20,dose%20supplementation%20%5B373" TargetMode="External" /><Relationship Type="http://schemas.openxmlformats.org/officeDocument/2006/relationships/hyperlink" Id="rId203" Target="file://file_00000000bde861f5aabab1a3120efa52#:~:text=match%20at%20L2057%20increased%20use,of%20B12" TargetMode="External" /><Relationship Type="http://schemas.openxmlformats.org/officeDocument/2006/relationships/hyperlink" Id="rId56" Target="file://file_00000000bde861f5aabab1a3120efa52#:~:text=match%20at%20L2100%20Metformin%3A%20up,after%20%E2%89%A512%20months%20of%20use" TargetMode="External" /><Relationship Type="http://schemas.openxmlformats.org/officeDocument/2006/relationships/hyperlink" Id="rId88" Target="file://file_00000000bde861f5aabab1a3120efa52#:~:text=match%20at%20L2144%20Pseudo,distinguish%20from%20true%20TTP%20promptly" TargetMode="External" /><Relationship Type="http://schemas.openxmlformats.org/officeDocument/2006/relationships/hyperlink" Id="rId78" Target="file://file_00000000bde861f5aabab1a3120efa52#:~:text=match%20at%20L369%20Hemolytic%20anemia%3A,of%20deficiency%20patients" TargetMode="External" /><Relationship Type="http://schemas.openxmlformats.org/officeDocument/2006/relationships/hyperlink" Id="rId54" Target="file://file_00000000bde861f5aabab1a3120efa52#:~:text=match%20at%20L824%20Prevalence%20of,users%20%28OR%202.95%29%20%5B224" TargetMode="External" /><Relationship Type="http://schemas.openxmlformats.org/officeDocument/2006/relationships/hyperlink" Id="rId71" Target="file://file_00000000bde861f5aabab1a3120efa52#:~:text=match%20at%20L957%20pseudo,for%20detecting%20B12%20deficiency" TargetMode="External" /><Relationship Type="http://schemas.openxmlformats.org/officeDocument/2006/relationships/hyperlink" Id="rId72" Target="file://file_00000000bde861f5aabab1a3120efa52#:~:text=pseudo,for%20detecting%20B12%20deficiency" TargetMode="External" /><Relationship Type="http://schemas.openxmlformats.org/officeDocument/2006/relationships/hyperlink" Id="rId85" Target="file://file_00000000bde861f5aabab1a3120efa52#:~:text=thrombocytopenia%2C%20mimicking%20true%20TTP%20but,severe%20ADAMTS13%20deficiency%20or%20requirement" TargetMode="External" /><Relationship Type="http://schemas.openxmlformats.org/officeDocument/2006/relationships/hyperlink" Id="rId87" Target="file://file_00000000bde861f5aabab1a3120efa52#:~:text=thrombotic%20thrombocytopenic%20purpura%20,up%20to%2040" TargetMode="External" /><Relationship Type="http://schemas.openxmlformats.org/officeDocument/2006/relationships/hyperlink" Id="rId136" Target="file://file_00000000bde861f5aabab1a3120efa52#:~:text=~500%20%C2%B5g%3A%201,373" TargetMode="External" /><Relationship Type="http://schemas.openxmlformats.org/officeDocument/2006/relationships/hyperlink" Id="rId223" Target="https://academic.oup.com/clinchem/advance-article-abstract/doi/10.1093/clinchem/hvaf037/8098143" TargetMode="External" /><Relationship Type="http://schemas.openxmlformats.org/officeDocument/2006/relationships/hyperlink" Id="rId117" Target="https://academic.oup.com/clinchem/advance-article-abstract/doi/10.1093/clinchem/hvaf037/8098143#:~:text=,deficiency%20and%20only%20the" TargetMode="External" /><Relationship Type="http://schemas.openxmlformats.org/officeDocument/2006/relationships/hyperlink" Id="rId231" Target="https://ashpublications.org/blood/article/112/6/2214/24841/How-I-treat-cobalamin-vitamin-B12-deficiency" TargetMode="External" /><Relationship Type="http://schemas.openxmlformats.org/officeDocument/2006/relationships/hyperlink" Id="rId175" Target="https://ashpublications.org/blood/article/112/6/2214/24841/How-I-treat-cobalamin-vitamin-B12-deficiency#:~:text=How%20I%20treat%20cobalamin%20," TargetMode="External" /><Relationship Type="http://schemas.openxmlformats.org/officeDocument/2006/relationships/hyperlink" Id="rId234" Target="https://b12-institute.nl/en/diagnosis/" TargetMode="External" /><Relationship Type="http://schemas.openxmlformats.org/officeDocument/2006/relationships/hyperlink" Id="rId190" Target="https://b12-institute.nl/en/diagnosis/#:~:text=Diagnosis%20,NHG%202024%2C%20WHO%202013%2C" TargetMode="External" /><Relationship Type="http://schemas.openxmlformats.org/officeDocument/2006/relationships/hyperlink" Id="rId216" Target="https://en.wikipedia.org/wiki/Vitamin_B12_deficiency" TargetMode="External" /><Relationship Type="http://schemas.openxmlformats.org/officeDocument/2006/relationships/hyperlink" Id="rId39" Target="https://en.wikipedia.org/wiki/Vitamin_B12_deficiency#:~:text=Vitamin%20B12%20deficiency%20,result%20in%20raised%20homocysteine%20levels" TargetMode="External" /><Relationship Type="http://schemas.openxmlformats.org/officeDocument/2006/relationships/hyperlink" Id="rId235" Target="https://japanjournalofmedicine.com/state-of-art-of-oral-vitamin-b12-cobalamin-in-biermers-disease-pernicious-anemia" TargetMode="External" /><Relationship Type="http://schemas.openxmlformats.org/officeDocument/2006/relationships/hyperlink" Id="rId192" Target="https://japanjournalofmedicine.com/state-of-art-of-oral-vitamin-b12-cobalamin-in-biermers-disease-pernicious-anemia#:~:text=State%20of%20Art%20of%20Oral,pernicious" TargetMode="External" /><Relationship Type="http://schemas.openxmlformats.org/officeDocument/2006/relationships/hyperlink" Id="rId236" Target="https://nhssomerset.nhs.uk/news/document/b12_-_advice_on_investigation_management/" TargetMode="External" /><Relationship Type="http://schemas.openxmlformats.org/officeDocument/2006/relationships/hyperlink" Id="rId193" Target="https://nhssomerset.nhs.uk/news/document/b12_-_advice_on_investigation_management/#:~:text=with" TargetMode="External" /><Relationship Type="http://schemas.openxmlformats.org/officeDocument/2006/relationships/hyperlink" Id="rId218" Target="https://ods.od.nih.gov/factsheets/VitaminB%E2%82%81%E2%82%82-HealthProfessional/" TargetMode="External" /><Relationship Type="http://schemas.openxmlformats.org/officeDocument/2006/relationships/hyperlink" Id="rId103" Target="https://ods.od.nih.gov/factsheets/VitaminB%E2%82%81%E2%82%82-HealthProfessional/#:~:text=RCTs%20have%20found%20that%20vitamin,levels%20but%20not%20CVD%20risk" TargetMode="External" /><Relationship Type="http://schemas.openxmlformats.org/officeDocument/2006/relationships/hyperlink" Id="rId220" Target="https://onlinelibrary.wiley.com/doi/10.1111/j.1365-2796.2011.02485.x" TargetMode="External" /><Relationship Type="http://schemas.openxmlformats.org/officeDocument/2006/relationships/hyperlink" Id="rId113" Target="https://onlinelibrary.wiley.com/doi/10.1111/j.1365-2796.2011.02485.x#:~:text=Do%20we%20need%20to%20reconsider,treating%20patients%20who%20show" TargetMode="External" /><Relationship Type="http://schemas.openxmlformats.org/officeDocument/2006/relationships/hyperlink" Id="rId219" Target="https://pernicious-anaemia-society.org/articles/testing-for-pernicious-anaemia/" TargetMode="External" /><Relationship Type="http://schemas.openxmlformats.org/officeDocument/2006/relationships/hyperlink" Id="rId112" Target="https://pernicious-anaemia-society.org/articles/testing-for-pernicious-anaemia/#:~:text=Testing%20for%20Pernicious%20Anaemia%20They,the%20machines%20that%20are" TargetMode="External" /><Relationship Type="http://schemas.openxmlformats.org/officeDocument/2006/relationships/hyperlink" Id="rId222" Target="https://pmc.ncbi.nlm.nih.gov/articles/PMC11128391/" TargetMode="External" /><Relationship Type="http://schemas.openxmlformats.org/officeDocument/2006/relationships/hyperlink" Id="rId115" Target="https://pmc.ncbi.nlm.nih.gov/articles/PMC11128391/#:~:text=,are%20associated%20with%20reduced" TargetMode="External" /><Relationship Type="http://schemas.openxmlformats.org/officeDocument/2006/relationships/hyperlink" Id="rId116" Target="https://pmc.ncbi.nlm.nih.gov/articles/PMC11128391/#:~:text=Efficacy%20of%20different%20routes%20of,are%20associated%20with%20reduced" TargetMode="External" /><Relationship Type="http://schemas.openxmlformats.org/officeDocument/2006/relationships/hyperlink" Id="rId214" Target="https://pmc.ncbi.nlm.nih.gov/articles/PMC4953733/" TargetMode="External" /><Relationship Type="http://schemas.openxmlformats.org/officeDocument/2006/relationships/hyperlink" Id="rId37" Target="https://pmc.ncbi.nlm.nih.gov/articles/PMC4953733/#:~:text=NIH%20pmc,of%20those%20aged%2020%E2%80%9339" TargetMode="External" /><Relationship Type="http://schemas.openxmlformats.org/officeDocument/2006/relationships/hyperlink" Id="rId212" Target="https://pmc.ncbi.nlm.nih.gov/articles/PMC5312744/" TargetMode="External" /><Relationship Type="http://schemas.openxmlformats.org/officeDocument/2006/relationships/hyperlink" Id="rId68" Target="https://pmc.ncbi.nlm.nih.gov/articles/PMC5312744/#:~:text=Chalmers8%20%20reviewed%20the%20results,review%20has%20proposed%20the%20discontinuation" TargetMode="External" /><Relationship Type="http://schemas.openxmlformats.org/officeDocument/2006/relationships/hyperlink" Id="rId165" Target="https://pmc.ncbi.nlm.nih.gov/articles/PMC5312744/#:~:text=Conclusions" TargetMode="External" /><Relationship Type="http://schemas.openxmlformats.org/officeDocument/2006/relationships/hyperlink" Id="rId147" Target="https://pmc.ncbi.nlm.nih.gov/articles/PMC5312744/#:~:text=MeCbl,7" TargetMode="External" /><Relationship Type="http://schemas.openxmlformats.org/officeDocument/2006/relationships/hyperlink" Id="rId30" Target="https://pmc.ncbi.nlm.nih.gov/articles/PMC5312744/#:~:text=One%20animal%20study%20compared%20the,7" TargetMode="External" /><Relationship Type="http://schemas.openxmlformats.org/officeDocument/2006/relationships/hyperlink" Id="rId66" Target="https://pmc.ncbi.nlm.nih.gov/articles/PMC5312744/#:~:text=Supplementing%20with%20any%20of%20the,individuals%20may%20require%20either%20a" TargetMode="External" /><Relationship Type="http://schemas.openxmlformats.org/officeDocument/2006/relationships/hyperlink" Id="rId27" Target="https://pmc.ncbi.nlm.nih.gov/articles/PMC5312744/#:~:text=The%20studies%20reviewed%20provide%20evidence,the%20efficiency%20of%20absorption%2C%20blood" TargetMode="External" /><Relationship Type="http://schemas.openxmlformats.org/officeDocument/2006/relationships/hyperlink" Id="rId26" Target="https://pmc.ncbi.nlm.nih.gov/articles/PMC5312744/#:~:text=The%20studies%20reviewed%20provide%20evidence,used%20in%20the%20synthesis%20of" TargetMode="External" /><Relationship Type="http://schemas.openxmlformats.org/officeDocument/2006/relationships/hyperlink" Id="rId25" Target="https://pmc.ncbi.nlm.nih.gov/articles/PMC5312744/#:~:text=Three%20natural%20forms%20of%20vitamin,from%20smoking%20or%20other%20sources" TargetMode="External" /><Relationship Type="http://schemas.openxmlformats.org/officeDocument/2006/relationships/hyperlink" Id="rId31" Target="https://pmc.ncbi.nlm.nih.gov/articles/PMC5312744/#:~:text=are%20concerned%20about%20cyanide%20accumulation,10" TargetMode="External" /><Relationship Type="http://schemas.openxmlformats.org/officeDocument/2006/relationships/hyperlink" Id="rId65" Target="https://pmc.ncbi.nlm.nih.gov/articles/PMC5312744/#:~:text=intracellular%20MeCbl%20and%20AdCbl%2C%20respectively,cellular%20uptake%2C%20and%20intracellular%20transformations" TargetMode="External" /><Relationship Type="http://schemas.openxmlformats.org/officeDocument/2006/relationships/hyperlink" Id="rId156" Target="https://pmc.ncbi.nlm.nih.gov/articles/PMC5312744/#:~:text=lower%20efficiency%20in%20cellular%20uptake,10" TargetMode="External" /><Relationship Type="http://schemas.openxmlformats.org/officeDocument/2006/relationships/hyperlink" Id="rId158" Target="https://pmc.ncbi.nlm.nih.gov/articles/PMC5312744/#:~:text=the%20liver%20than%20did%20CNCbl,7" TargetMode="External" /><Relationship Type="http://schemas.openxmlformats.org/officeDocument/2006/relationships/hyperlink" Id="rId232" Target="https://pmc.ncbi.nlm.nih.gov/articles/PMC6590120/" TargetMode="External" /><Relationship Type="http://schemas.openxmlformats.org/officeDocument/2006/relationships/hyperlink" Id="rId188" Target="https://pmc.ncbi.nlm.nih.gov/articles/PMC6590120/#:~:text=B12%20pmc,0%20%C2%B5g%20d%E2%88%921" TargetMode="External" /><Relationship Type="http://schemas.openxmlformats.org/officeDocument/2006/relationships/hyperlink" Id="rId213" Target="https://practicenurse.co.uk/articles/nursing-practice/b12-deficiency-and-replacement-in-general-practice" TargetMode="External" /><Relationship Type="http://schemas.openxmlformats.org/officeDocument/2006/relationships/hyperlink" Id="rId153" Target="https://practicenurse.co.uk/articles/nursing-practice/b12-deficiency-and-replacement-in-general-practice#:~:text=ANAEMIA%3A%20CASE%20STUDIES" TargetMode="External" /><Relationship Type="http://schemas.openxmlformats.org/officeDocument/2006/relationships/hyperlink" Id="rId146" Target="https://practicenurse.co.uk/articles/nursing-practice/b12-deficiency-and-replacement-in-general-practice#:~:text=Electronic%20Medicines%20Compendium12%20recommends%20a,every%20two%20or%20three%20months" TargetMode="External" /><Relationship Type="http://schemas.openxmlformats.org/officeDocument/2006/relationships/hyperlink" Id="rId70" Target="https://practicenurse.co.uk/articles/nursing-practice/b12-deficiency-and-replacement-in-general-practice#:~:text=For%20some%20people%2C%20B12%20deficiency,is%20why%20it%20is%20so" TargetMode="External" /><Relationship Type="http://schemas.openxmlformats.org/officeDocument/2006/relationships/hyperlink" Id="rId140" Target="https://practicenurse.co.uk/articles/nursing-practice/b12-deficiency-and-replacement-in-general-practice#:~:text=For%20vitamin%20B12%20replacement%20in,deficiency%20and%20neurological%20involvement%2C%20EMC" TargetMode="External" /><Relationship Type="http://schemas.openxmlformats.org/officeDocument/2006/relationships/hyperlink" Id="rId74" Target="https://practicenurse.co.uk/articles/nursing-practice/b12-deficiency-and-replacement-in-general-practice#:~:text=In%20cases%20of%20B12%20deficiency%2C,B12%20deficiency%2C%20which%20if%20left" TargetMode="External" /><Relationship Type="http://schemas.openxmlformats.org/officeDocument/2006/relationships/hyperlink" Id="rId148" Target="https://practicenurse.co.uk/articles/nursing-practice/b12-deficiency-and-replacement-in-general-practice#:~:text=In%20cases%20of%20dietary%20deficiency%2C,3" TargetMode="External" /><Relationship Type="http://schemas.openxmlformats.org/officeDocument/2006/relationships/hyperlink" Id="rId51" Target="https://practicenurse.co.uk/articles/nursing-practice/b12-deficiency-and-replacement-in-general-practice#:~:text=Metformin,10" TargetMode="External" /><Relationship Type="http://schemas.openxmlformats.org/officeDocument/2006/relationships/hyperlink" Id="rId152" Target="https://practicenurse.co.uk/articles/nursing-practice/b12-deficiency-and-replacement-in-general-practice#:~:text=NICE%20recommends%20repeating%20the%20full,checked%20again%20after%204%20months" TargetMode="External" /><Relationship Type="http://schemas.openxmlformats.org/officeDocument/2006/relationships/hyperlink" Id="rId154" Target="https://practicenurse.co.uk/articles/nursing-practice/b12-deficiency-and-replacement-in-general-practice#:~:text=ONGOING%20MONITORING" TargetMode="External" /><Relationship Type="http://schemas.openxmlformats.org/officeDocument/2006/relationships/hyperlink" Id="rId134" Target="https://practicenurse.co.uk/articles/nursing-practice/b12-deficiency-and-replacement-in-general-practice#:~:text=SELF" TargetMode="External" /><Relationship Type="http://schemas.openxmlformats.org/officeDocument/2006/relationships/hyperlink" Id="rId36" Target="https://practicenurse.co.uk/articles/nursing-practice/b12-deficiency-and-replacement-in-general-practice#:~:text=The%20overall%20UK%20prevalence%20of,and%20some%20medication%20use%2C%20such" TargetMode="External" /><Relationship Type="http://schemas.openxmlformats.org/officeDocument/2006/relationships/hyperlink" Id="rId102" Target="https://practicenurse.co.uk/articles/nursing-practice/b12-deficiency-and-replacement-in-general-practice#:~:text=WHY%20B12%20DEFICIENCY%20OCCURS" TargetMode="External" /><Relationship Type="http://schemas.openxmlformats.org/officeDocument/2006/relationships/hyperlink" Id="rId127" Target="https://practicenurse.co.uk/articles/nursing-practice/b12-deficiency-and-replacement-in-general-practice#:~:text=also%20reduced%20but%20the%20red,2" TargetMode="External" /><Relationship Type="http://schemas.openxmlformats.org/officeDocument/2006/relationships/hyperlink" Id="rId204" Target="https://practicenurse.co.uk/articles/nursing-practice/b12-deficiency-and-replacement-in-general-practice#:~:text=examination%20and%20investigations" TargetMode="External" /><Relationship Type="http://schemas.openxmlformats.org/officeDocument/2006/relationships/hyperlink" Id="rId98" Target="https://practicenurse.co.uk/articles/nursing-practice/b12-deficiency-and-replacement-in-general-practice#:~:text=include%20brain%20fog%2C%20vascular%20disease,note%2C%20at%20this%20time%2C%20some" TargetMode="External" /><Relationship Type="http://schemas.openxmlformats.org/officeDocument/2006/relationships/hyperlink" Id="rId149" Target="https://practicenurse.co.uk/articles/nursing-practice/b12-deficiency-and-replacement-in-general-practice#:~:text=injections%20given%20every%202,3" TargetMode="External" /><Relationship Type="http://schemas.openxmlformats.org/officeDocument/2006/relationships/hyperlink" Id="rId97" Target="https://practicenurse.co.uk/articles/nursing-practice/b12-deficiency-and-replacement-in-general-practice#:~:text=needles%2C%20burning%20sensations%20or%20numbness,before%20putting%20them%20down%20to" TargetMode="External" /><Relationship Type="http://schemas.openxmlformats.org/officeDocument/2006/relationships/hyperlink" Id="rId141" Target="https://practicenurse.co.uk/articles/nursing-practice/b12-deficiency-and-replacement-in-general-practice#:~:text=states%20that%20a%20dose%20of,every%20two%20or%20three%20months" TargetMode="External" /><Relationship Type="http://schemas.openxmlformats.org/officeDocument/2006/relationships/hyperlink" Id="rId96" Target="https://practicenurse.co.uk/articles/nursing-practice/b12-deficiency-and-replacement-in-general-practice#:~:text=symptomatic%2C%20it%20may%20take%20years,note%2C%20at%20this%20time%2C%20some" TargetMode="External" /><Relationship Type="http://schemas.openxmlformats.org/officeDocument/2006/relationships/hyperlink" Id="rId128" Target="https://practicenurse.co.uk/articles/nursing-practice/b12-deficiency-and-replacement-in-general-practice#:~:text=the%20population%20being%20studied.,Bacterial%20infections%20of%20the" TargetMode="External" /><Relationship Type="http://schemas.openxmlformats.org/officeDocument/2006/relationships/hyperlink" Id="rId228" Target="https://wchh.onlinelibrary.wiley.com/do/10.1002/psb.0010149" TargetMode="External" /><Relationship Type="http://schemas.openxmlformats.org/officeDocument/2006/relationships/hyperlink" Id="rId122" Target="https://wchh.onlinelibrary.wiley.com/do/10.1002/psb.0010149#:~:text=deficiency%20wchh,people%2C%20but%20the%20latter" TargetMode="External" /><Relationship Type="http://schemas.openxmlformats.org/officeDocument/2006/relationships/hyperlink" Id="rId221" Target="https://www.bmj.com/content/383/bmj-2022-071725" TargetMode="External" /><Relationship Type="http://schemas.openxmlformats.org/officeDocument/2006/relationships/hyperlink" Id="rId114" Target="https://www.bmj.com/content/383/bmj-2022-071725#:~:text=Vitamin%20B12%20,deficiency%20and%20is%20sufficient" TargetMode="External" /><Relationship Type="http://schemas.openxmlformats.org/officeDocument/2006/relationships/hyperlink" Id="rId238" Target="https://www.clancymedicalgroup.com/vitamin-b12/" TargetMode="External" /><Relationship Type="http://schemas.openxmlformats.org/officeDocument/2006/relationships/hyperlink" Id="rId196" Target="https://www.clancymedicalgroup.com/vitamin-b12/#:~:text=Diagnosing%20B12%20Deficiency,below%20500%20pg%2FmL%20to" TargetMode="External" /><Relationship Type="http://schemas.openxmlformats.org/officeDocument/2006/relationships/hyperlink" Id="rId237" Target="https://www.droracle.ai/articles/88503/what-is-a-normal-b12-level" TargetMode="External" /><Relationship Type="http://schemas.openxmlformats.org/officeDocument/2006/relationships/hyperlink" Id="rId195" Target="https://www.droracle.ai/articles/88503/what-is-a-normal-b12-level#:~:text=In%20southwestern%20Colombia%2C%20the%20prevalence,2%3B%20B12%20deficiency%20is" TargetMode="External" /><Relationship Type="http://schemas.openxmlformats.org/officeDocument/2006/relationships/hyperlink" Id="rId230" Target="https://www.hweclinicalguidance.nhs.uk/all-clinical-areas-documents/download?cid=2951&amp;checksum=02180771a9b609a26dcea07f272e141f" TargetMode="External" /><Relationship Type="http://schemas.openxmlformats.org/officeDocument/2006/relationships/hyperlink" Id="rId174" Target="https://www.hweclinicalguidance.nhs.uk/all-clinical-areas-documents/download?cid=2951&amp;checksum=02180771a9b609a26dcea07f272e141f#:~:text=,Conditions%20for%20which%20over" TargetMode="External" /><Relationship Type="http://schemas.openxmlformats.org/officeDocument/2006/relationships/hyperlink" Id="rId239" Target="https://www.mdpi.com/2072-6643/15/10/2357" TargetMode="External" /><Relationship Type="http://schemas.openxmlformats.org/officeDocument/2006/relationships/hyperlink" Id="rId206" Target="https://www.mdpi.com/2072-6643/15/10/2357#:~:text=Population%20Status%20of%20Vitamin%20B12,9" TargetMode="External" /><Relationship Type="http://schemas.openxmlformats.org/officeDocument/2006/relationships/hyperlink" Id="rId217" Target="https://www.mdpi.com/2077-0383/13/8/2176" TargetMode="External" /><Relationship Type="http://schemas.openxmlformats.org/officeDocument/2006/relationships/hyperlink" Id="rId186" Target="https://www.mdpi.com/2077-0383/13/8/2176#:~:text=,should%20receive%20prophylactic%20B12%20supplementation" TargetMode="External" /><Relationship Type="http://schemas.openxmlformats.org/officeDocument/2006/relationships/hyperlink" Id="rId179" Target="https://www.mdpi.com/2077-0383/13/8/2176#:~:text=,to%20use%20prophylactic%20B12%20supplementation" TargetMode="External" /><Relationship Type="http://schemas.openxmlformats.org/officeDocument/2006/relationships/hyperlink" Id="rId137" Target="https://www.mdpi.com/2077-0383/13/8/2176#:~:text=12,Elboraay%2C%20T" TargetMode="External" /><Relationship Type="http://schemas.openxmlformats.org/officeDocument/2006/relationships/hyperlink" Id="rId142" Target="https://www.mdpi.com/2077-0383/13/8/2176#:~:text=15,CrossRef" TargetMode="External" /><Relationship Type="http://schemas.openxmlformats.org/officeDocument/2006/relationships/hyperlink" Id="rId150" Target="https://www.mdpi.com/2077-0383/13/8/2176#:~:text=B12%2C%20therapeutic%20doses%20between%201000,The%20clinical%20response" TargetMode="External" /><Relationship Type="http://schemas.openxmlformats.org/officeDocument/2006/relationships/hyperlink" Id="rId180" Target="https://www.mdpi.com/2077-0383/13/8/2176#:~:text=In%20people%20with%20vitamin%20B12,serum%20concentrations%20of%20vitamin%20B12" TargetMode="External" /><Relationship Type="http://schemas.openxmlformats.org/officeDocument/2006/relationships/hyperlink" Id="rId151" Target="https://www.mdpi.com/2077-0383/13/8/2176#:~:text=Villalba%2C%20M.%3B%20G%C3%B3mez,Google%20Scholar" TargetMode="External" /><Relationship Type="http://schemas.openxmlformats.org/officeDocument/2006/relationships/hyperlink" Id="rId109" Target="https://www.mdpi.com/2077-0383/13/8/2176#:~:text=considered%20for%20long,The" TargetMode="External" /><Relationship Type="http://schemas.openxmlformats.org/officeDocument/2006/relationships/hyperlink" Id="rId130" Target="https://www.mdpi.com/2077-0383/13/8/2176#:~:text=effectiveness%20of%20parenteral%20and%20high,13%2C14%2C15" TargetMode="External" /><Relationship Type="http://schemas.openxmlformats.org/officeDocument/2006/relationships/hyperlink" Id="rId131" Target="https://www.mdpi.com/2077-0383/13/8/2176#:~:text=high%20oral%20B12%20,methylcobalamin%20are%20safe%20and%20beneficial" TargetMode="External" /><Relationship Type="http://schemas.openxmlformats.org/officeDocument/2006/relationships/hyperlink" Id="rId187" Target="https://www.mdpi.com/2077-0383/13/8/2176#:~:text=lactation%2C%20and%20infancy%20should%20receive,who%20are%20at%20risk%20of" TargetMode="External" /><Relationship Type="http://schemas.openxmlformats.org/officeDocument/2006/relationships/hyperlink" Id="rId143" Target="https://www.mdpi.com/2077-0383/13/8/2176#:~:text=low%20in%20foods%20from%20animal,who%20have%20had%20gastric%20surgery" TargetMode="External" /><Relationship Type="http://schemas.openxmlformats.org/officeDocument/2006/relationships/hyperlink" Id="rId182" Target="https://www.mdpi.com/2077-0383/13/8/2176#:~:text=match%20at%20L1075%20to%20alleviate,B12%2C%20especially%20if%20oral%20B12" TargetMode="External" /><Relationship Type="http://schemas.openxmlformats.org/officeDocument/2006/relationships/hyperlink" Id="rId135" Target="https://www.mdpi.com/2077-0383/13/8/2176#:~:text=match%20at%20L1168%20B12%2C%20therapeutic,The%20clinical%20response" TargetMode="External" /><Relationship Type="http://schemas.openxmlformats.org/officeDocument/2006/relationships/hyperlink" Id="rId184" Target="https://www.mdpi.com/2077-0383/13/8/2176#:~:text=match%20at%20L1983%20,to%20use%20prophylactic%20B12%20supplementation" TargetMode="External" /><Relationship Type="http://schemas.openxmlformats.org/officeDocument/2006/relationships/hyperlink" Id="rId185" Target="https://www.mdpi.com/2077-0383/13/8/2176#:~:text=match%20at%20L2006%20,B12%20treatment%20over%20oral%20treatment" TargetMode="External" /><Relationship Type="http://schemas.openxmlformats.org/officeDocument/2006/relationships/hyperlink" Id="rId183" Target="https://www.mdpi.com/2077-0383/13/8/2176#:~:text=match%20at%20L2016%20,term%20treatment" TargetMode="External" /><Relationship Type="http://schemas.openxmlformats.org/officeDocument/2006/relationships/hyperlink" Id="rId178" Target="https://www.mdpi.com/2077-0383/13/8/2176#:~:text=match%20at%20L685%20considered%20for,The" TargetMode="External" /><Relationship Type="http://schemas.openxmlformats.org/officeDocument/2006/relationships/hyperlink" Id="rId181" Target="https://www.mdpi.com/2077-0383/13/8/2176#:~:text=to%20alleviate%20the%20patient%E2%80%99s%20symptoms%2C,B12%2C%20especially%20if%20oral%20B12" TargetMode="External" /><Relationship Type="http://schemas.openxmlformats.org/officeDocument/2006/relationships/hyperlink" Id="rId100" Target="https://www.mdpi.com/2077-0383/13/8/2176#:~:text=treating%20B12%20deficiency,Patient%20lifestyle%2C%20disease%20history" TargetMode="External" /><Relationship Type="http://schemas.openxmlformats.org/officeDocument/2006/relationships/hyperlink" Id="rId227" Target="https://www.nice.org.uk/guidance/mib40/resources/active-b12-assay-for-diagnosing-vitamin-b12-deficiency-pdf-63499159342789" TargetMode="External" /><Relationship Type="http://schemas.openxmlformats.org/officeDocument/2006/relationships/hyperlink" Id="rId121" Target="https://www.nice.org.uk/guidance/mib40/resources/active-b12-assay-for-diagnosing-vitamin-b12-deficiency-pdf-63499159342789#:~:text=,number%20of%20indeterminate%20results%2C" TargetMode="External" /><Relationship Type="http://schemas.openxmlformats.org/officeDocument/2006/relationships/hyperlink" Id="rId229" Target="https://www.nice.org.uk/guidance/ng239" TargetMode="External" /><Relationship Type="http://schemas.openxmlformats.org/officeDocument/2006/relationships/hyperlink" Id="rId125" Target="https://www.nice.org.uk/guidance/ng239#:~:text=This%20guideline%20covers%20recognising%2C%20diagnosing,in%20people%20with%20autoimmune%20gastritis" TargetMode="External" /><Relationship Type="http://schemas.openxmlformats.org/officeDocument/2006/relationships/hyperlink" Id="rId126" Target="https://www.nice.org.uk/guidance/ng239#:~:text=condition%20%20,or%20confirmed%20vitamin%20B12%20deficiency" TargetMode="External" /><Relationship Type="http://schemas.openxmlformats.org/officeDocument/2006/relationships/hyperlink" Id="rId225" Target="https://www.nice.org.uk/guidance/ng239/chapter/recommendations" TargetMode="External" /><Relationship Type="http://schemas.openxmlformats.org/officeDocument/2006/relationships/hyperlink" Id="rId119" Target="https://www.nice.org.uk/guidance/ng239/chapter/recommendations#:~:text=management%20www,suspected%20vitamin%20B12%20deficiency" TargetMode="External" /><Relationship Type="http://schemas.openxmlformats.org/officeDocument/2006/relationships/hyperlink" Id="rId224" Target="https://www.nottsapc.nhs.uk/media/3xufkasz/vitamin-b12-treatment-guideline.pdf" TargetMode="External" /><Relationship Type="http://schemas.openxmlformats.org/officeDocument/2006/relationships/hyperlink" Id="rId173" Target="https://www.nottsapc.nhs.uk/media/3xufkasz/vitamin-b12-treatment-guideline.pdf#:~:text=,NO" TargetMode="External" /><Relationship Type="http://schemas.openxmlformats.org/officeDocument/2006/relationships/hyperlink" Id="rId118" Target="https://www.nottsapc.nhs.uk/media/3xufkasz/vitamin-b12-treatment-guideline.pdf#:~:text=,Specialist" TargetMode="External" /><Relationship Type="http://schemas.openxmlformats.org/officeDocument/2006/relationships/hyperlink" Id="rId226" Target="https://www.pulsetoday.co.uk/clinical-feature/clinical-areas/gastroenterology-obesity/what-gps-need-to-know-about-nices-vitamin-b12-deficiency-guidance/" TargetMode="External" /><Relationship Type="http://schemas.openxmlformats.org/officeDocument/2006/relationships/hyperlink" Id="rId120" Target="https://www.pulsetoday.co.uk/clinical-feature/clinical-areas/gastroenterology-obesity/what-gps-need-to-know-about-nices-vitamin-b12-deficiency-guidance/#:~:text=What%20GPs%20need%20to%20know,If" TargetMode="External" /><Relationship Type="http://schemas.openxmlformats.org/officeDocument/2006/relationships/hyperlink" Id="rId211" Target="https://www.reddit.com/r/vegan/comments/1ev14uk/psa_methylcobalamin_does_not_cover_all_necessary/" TargetMode="External" /><Relationship Type="http://schemas.openxmlformats.org/officeDocument/2006/relationships/hyperlink" Id="rId22" Target="https://www.reddit.com/r/vegan/comments/1ev14uk/psa_methylcobalamin_does_not_cover_all_necessary/#:~:text=%E2%80%A2%20Quote%3A%20%E2%80%9CMethylcobalamin%20serves%20as,%E2%80%9D" TargetMode="External" /><Relationship Type="http://schemas.openxmlformats.org/officeDocument/2006/relationships/hyperlink" Id="rId160" Target="https://www.reddit.com/r/vegan/comments/1ev14uk/psa_methylcobalamin_does_not_cover_all_necessary/#:~:text=%E2%80%A2%20Study%3A%20%E2%80%9CVitamin%20B12%20,cyanocobalamin%20in%20food%20fortification" TargetMode="External" /><Relationship Type="http://schemas.openxmlformats.org/officeDocument/2006/relationships/hyperlink" Id="rId29" Target="https://www.reddit.com/r/vegan/comments/1ev14uk/psa_methylcobalamin_does_not_cover_all_necessary/#:~:text=,affect%20the%20efficiency%20of%20absorption" TargetMode="External" /><Relationship Type="http://schemas.openxmlformats.org/officeDocument/2006/relationships/hyperlink" Id="rId159" Target="https://www.reddit.com/r/vegan/comments/1ev14uk/psa_methylcobalamin_does_not_cover_all_necessary/#:~:text=1.%20Cyanocobalamin%20%28most%20shelf,affordable%2C%20but%20least%20bioavailable" TargetMode="External" /><Relationship Type="http://schemas.openxmlformats.org/officeDocument/2006/relationships/hyperlink" Id="rId163" Target="https://www.reddit.com/r/vegan/comments/1ev14uk/psa_methylcobalamin_does_not_cover_all_necessary/#:~:text=3,in%20conjunction%20on%20the%20market" TargetMode="External" /><Relationship Type="http://schemas.openxmlformats.org/officeDocument/2006/relationships/hyperlink" Id="rId28" Target="https://www.reddit.com/r/vegan/comments/1ev14uk/psa_methylcobalamin_does_not_cover_all_necessary/#:~:text=For%20the%20body%20to%20fully,does%20not%20support%20mitochondrial%20functions" TargetMode="External" /><Relationship Type="http://schemas.openxmlformats.org/officeDocument/2006/relationships/hyperlink" Id="rId205" Target="https://www.reddit.com/r/vegan/comments/1ev14uk/psa_methylcobalamin_does_not_cover_all_necessary/#:~:text=Worldwide%20Problem,326" TargetMode="External" /><Relationship Type="http://schemas.openxmlformats.org/officeDocument/2006/relationships/hyperlink" Id="rId95" Target="https://www.reddit.com/r/vegan/comments/1ev14uk/psa_methylcobalamin_does_not_cover_all_necessary/#:~:text=reaction%20for%20methylation%20processes%20in,%E2%80%9D" TargetMode="External" /><Relationship Type="http://schemas.openxmlformats.org/officeDocument/2006/relationships/hyperlink" Id="rId233" Target="https://www.researchgate.net/publication/330486944_The_Revised_D-A-CH-Reference_Values_for_the_Intake_of_Vitamin_B12_Prevention_of_Deficiency_and_Beyond" TargetMode="External" /><Relationship Type="http://schemas.openxmlformats.org/officeDocument/2006/relationships/hyperlink" Id="rId189" Target="https://www.researchgate.net/publication/330486944_The_Revised_D-A-CH-Reference_Values_for_the_Intake_of_Vitamin_B12_Prevention_of_Deficiency_and_Beyond#:~:text=B12%20www,5%20%C2%B5g%20d%E2%81%BB%C2%B9%2C%20respectively" TargetMode="External" /><Relationship Type="http://schemas.openxmlformats.org/officeDocument/2006/relationships/hyperlink" Id="rId215" Target="https://www.researchgate.net/publication/354426514_A_Brief_Review_on_Vitamin_B12_Deficiency_Looking_at_Some_Case_Study_Reports_in_Adults" TargetMode="External" /><Relationship Type="http://schemas.openxmlformats.org/officeDocument/2006/relationships/hyperlink" Id="rId38" Target="https://www.researchgate.net/publication/354426514_A_Brief_Review_on_Vitamin_B12_Deficiency_Looking_at_Some_Case_Study_Reports_in_Adults#:~:text=,rates%20are%20observed%20among" TargetMode="External" /></Relationships>
</file>

<file path=word/_rels/footnotes.xml.rels><?xml version="1.0" encoding="UTF-8"?><Relationships xmlns="http://schemas.openxmlformats.org/package/2006/relationships"><Relationship Type="http://schemas.openxmlformats.org/officeDocument/2006/relationships/hyperlink" Id="rId210" Target="file://file_00000000bde861f5aabab1a3120efa52" TargetMode="External" /><Relationship Type="http://schemas.openxmlformats.org/officeDocument/2006/relationships/hyperlink" Id="rId99" Target="file://file_00000000bde861f5aabab1a3120efa52#:~:text=%28pseudo,Deficiency%20with%20Normal%20Serum%20B12" TargetMode="External" /><Relationship Type="http://schemas.openxmlformats.org/officeDocument/2006/relationships/hyperlink" Id="rId144" Target="file://file_00000000bde861f5aabab1a3120efa52#:~:text=%5B370%5D%20HOCbl%3A%202" TargetMode="External" /><Relationship Type="http://schemas.openxmlformats.org/officeDocument/2006/relationships/hyperlink" Id="rId166" Target="file://file_00000000bde861f5aabab1a3120efa52#:~:text=%5B373%5D%20HOCbl%3A%2056,retained" TargetMode="External" /><Relationship Type="http://schemas.openxmlformats.org/officeDocument/2006/relationships/hyperlink" Id="rId138" Target="file://file_00000000bde861f5aabab1a3120efa52#:~:text=,5" TargetMode="External" /><Relationship Type="http://schemas.openxmlformats.org/officeDocument/2006/relationships/hyperlink" Id="rId63" Target="file://file_00000000bde861f5aabab1a3120efa52#:~:text=,Gr%C3%A4sbeck" TargetMode="External" /><Relationship Type="http://schemas.openxmlformats.org/officeDocument/2006/relationships/hyperlink" Id="rId164" Target="file://file_00000000bde861f5aabab1a3120efa52#:~:text=,adenosyl%20group%20is" TargetMode="External" /><Relationship Type="http://schemas.openxmlformats.org/officeDocument/2006/relationships/hyperlink" Id="rId161" Target="file://file_00000000bde861f5aabab1a3120efa52#:~:text=,adenosyl%20group%20is%20cleaved" TargetMode="External" /><Relationship Type="http://schemas.openxmlformats.org/officeDocument/2006/relationships/hyperlink" Id="rId167" Target="file://file_00000000bde861f5aabab1a3120efa52#:~:text=,dose%20supplementation%20%5B373" TargetMode="External" /><Relationship Type="http://schemas.openxmlformats.org/officeDocument/2006/relationships/hyperlink" Id="rId162" Target="file://file_00000000bde861f5aabab1a3120efa52#:~:text=,is%20cleaved%20before%20intracellular%20use" TargetMode="External" /><Relationship Type="http://schemas.openxmlformats.org/officeDocument/2006/relationships/hyperlink" Id="rId157" Target="file://file_00000000bde861f5aabab1a3120efa52#:~:text=,studied%20safety%20profile" TargetMode="External" /><Relationship Type="http://schemas.openxmlformats.org/officeDocument/2006/relationships/hyperlink" Id="rId177" Target="file://file_00000000bde861f5aabab1a3120efa52#:~:text=1%E2%80%932%20mg%20daily%20oral%20CN,Western%20Europe%2C%20tailored%20to%20clinical" TargetMode="External" /><Relationship Type="http://schemas.openxmlformats.org/officeDocument/2006/relationships/hyperlink" Id="rId62" Target="file://file_00000000bde861f5aabab1a3120efa52#:~:text=1,51" TargetMode="External" /><Relationship Type="http://schemas.openxmlformats.org/officeDocument/2006/relationships/hyperlink" Id="rId199" Target="file://file_00000000bde861f5aabab1a3120efa52#:~:text=1,cm%20proximal%20to%20incisura%20angularis" TargetMode="External" /><Relationship Type="http://schemas.openxmlformats.org/officeDocument/2006/relationships/hyperlink" Id="rId44" Target="file://file_00000000bde861f5aabab1a3120efa52#:~:text=1.%20Etiology%20shift%3A%20FBCM%20%2850%E2%80%9370,and" TargetMode="External" /><Relationship Type="http://schemas.openxmlformats.org/officeDocument/2006/relationships/hyperlink" Id="rId49" Target="file://file_00000000bde861f5aabab1a3120efa52#:~:text=1.%20Etiology%20shift%3A%20Food,validated%20as" TargetMode="External" /><Relationship Type="http://schemas.openxmlformats.org/officeDocument/2006/relationships/hyperlink" Id="rId43" Target="file://file_00000000bde861f5aabab1a3120efa52#:~:text=1.%20Food,1" TargetMode="External" /><Relationship Type="http://schemas.openxmlformats.org/officeDocument/2006/relationships/hyperlink" Id="rId104" Target="file://file_00000000bde861f5aabab1a3120efa52#:~:text=1.%20Hyperhomocysteinemia,Indirect%20Effects" TargetMode="External" /><Relationship Type="http://schemas.openxmlformats.org/officeDocument/2006/relationships/hyperlink" Id="rId172" Target="file://file_00000000bde861f5aabab1a3120efa52#:~:text=10,1%20mg%20IM%20every%202%E2%80%933" TargetMode="External" /><Relationship Type="http://schemas.openxmlformats.org/officeDocument/2006/relationships/hyperlink" Id="rId53" Target="file://file_00000000bde861f5aabab1a3120efa52#:~:text=2.%20Metformin,and" TargetMode="External" /><Relationship Type="http://schemas.openxmlformats.org/officeDocument/2006/relationships/hyperlink" Id="rId50" Target="file://file_00000000bde861f5aabab1a3120efa52#:~:text=3,without%20supplementation" TargetMode="External" /><Relationship Type="http://schemas.openxmlformats.org/officeDocument/2006/relationships/hyperlink" Id="rId64" Target="file://file_00000000bde861f5aabab1a3120efa52#:~:text=3.%20Dietary%20Insufficiency%3A%202%E2%80%935,1" TargetMode="External" /><Relationship Type="http://schemas.openxmlformats.org/officeDocument/2006/relationships/hyperlink" Id="rId171" Target="file://file_00000000bde861f5aabab1a3120efa52#:~:text=4,individualized%20treatment%20based%20on%20severity%2Fetiology" TargetMode="External" /><Relationship Type="http://schemas.openxmlformats.org/officeDocument/2006/relationships/hyperlink" Id="rId200" Target="file://file_00000000bde861f5aabab1a3120efa52#:~:text=5.%20Pseudo,110" TargetMode="External" /><Relationship Type="http://schemas.openxmlformats.org/officeDocument/2006/relationships/hyperlink" Id="rId106" Target="file://file_00000000bde861f5aabab1a3120efa52#:~:text=9.%20Autoimmune%20associations%3A%2027,245" TargetMode="External" /><Relationship Type="http://schemas.openxmlformats.org/officeDocument/2006/relationships/hyperlink" Id="rId57" Target="file://file_00000000bde861f5aabab1a3120efa52#:~:text=Annual%20B12%20screening%20recommended%20for,68" TargetMode="External" /><Relationship Type="http://schemas.openxmlformats.org/officeDocument/2006/relationships/hyperlink" Id="rId59" Target="file://file_00000000bde861f5aabab1a3120efa52#:~:text=Autoimmune%20pernicious%20anemia%20%28anti,Gr%C3%A4sbeck" TargetMode="External" /><Relationship Type="http://schemas.openxmlformats.org/officeDocument/2006/relationships/hyperlink" Id="rId194" Target="file://file_00000000bde861f5aabab1a3120efa52#:~:text=Brazil%20No%20national%20uniform%20guideline,integrate%20clinical%20features%20and%20multiple" TargetMode="External" /><Relationship Type="http://schemas.openxmlformats.org/officeDocument/2006/relationships/hyperlink" Id="rId46" Target="file://file_00000000bde861f5aabab1a3120efa52#:~:text=Causes%20of%20false,antigens%20and%20gastric%20H%2B%2FK%2B%20ATPase" TargetMode="External" /><Relationship Type="http://schemas.openxmlformats.org/officeDocument/2006/relationships/hyperlink" Id="rId60" Target="file://file_00000000bde861f5aabab1a3120efa52#:~:text=Chronic%20metformin%20users%20,bariatric%20surgery%20Atrophic%20gastritis" TargetMode="External" /><Relationship Type="http://schemas.openxmlformats.org/officeDocument/2006/relationships/hyperlink" Id="rId47" Target="file://file_00000000bde861f5aabab1a3120efa52#:~:text=Clinical%20significance%3A%20Positive%20APCA%20should,212" TargetMode="External" /><Relationship Type="http://schemas.openxmlformats.org/officeDocument/2006/relationships/hyperlink" Id="rId133" Target="file://file_00000000bde861f5aabab1a3120efa52#:~:text=Comprehensive%20Treatment%20Overview%20Intramuscular%20,Doses%20of%201%E2%80%932%20mg%20daily" TargetMode="External" /><Relationship Type="http://schemas.openxmlformats.org/officeDocument/2006/relationships/hyperlink" Id="rId132" Target="file://file_00000000bde861f5aabab1a3120efa52#:~:text=Country%20Preferred%20Route%20Highlights%20US%2FUK,IM%20reserved%20for%20neuro%20cases" TargetMode="External" /><Relationship Type="http://schemas.openxmlformats.org/officeDocument/2006/relationships/hyperlink" Id="rId123" Target="file://file_00000000bde861f5aabab1a3120efa52#:~:text=Estimated%20prevalence%20of%20false,250" TargetMode="External" /><Relationship Type="http://schemas.openxmlformats.org/officeDocument/2006/relationships/hyperlink" Id="rId48" Target="file://file_00000000bde861f5aabab1a3120efa52#:~:text=General%20population%20prevalence%3A%200.1,%28increasing%20trend%29%20%5B243%5D%20%5B244" TargetMode="External" /><Relationship Type="http://schemas.openxmlformats.org/officeDocument/2006/relationships/hyperlink" Id="rId169" Target="file://file_00000000bde861f5aabab1a3120efa52#:~:text=Germany%2FNetherlands%20IM%20for%20confirmed%2C%20oral,Europe%2C%20tailored%20to%20clinical%20response" TargetMode="External" /><Relationship Type="http://schemas.openxmlformats.org/officeDocument/2006/relationships/hyperlink" Id="rId40" Target="file://file_00000000bde861f5aabab1a3120efa52#:~:text=Global%20Patterns%3A%20Marginal%20deficiency%20rates,include%20older%20adults%2C%20children%2C%20pregnant" TargetMode="External" /><Relationship Type="http://schemas.openxmlformats.org/officeDocument/2006/relationships/hyperlink" Id="rId34" Target="file://file_00000000bde861f5aabab1a3120efa52#:~:text=Global%20Prevalence%20General%20population%3A%203%E2%80%936,60%20years%29.%20%5B55" TargetMode="External" /><Relationship Type="http://schemas.openxmlformats.org/officeDocument/2006/relationships/hyperlink" Id="rId35" Target="file://file_00000000bde861f5aabab1a3120efa52#:~:text=Global%20Prevalence%20of%20B12%20Deficiency,in%20adults%2020%E2%80%9359%20years" TargetMode="External" /><Relationship Type="http://schemas.openxmlformats.org/officeDocument/2006/relationships/hyperlink" Id="rId41" Target="file://file_00000000bde861f5aabab1a3120efa52#:~:text=Global%20prevalence%3A%20Food,This%20reflects%20aging" TargetMode="External" /><Relationship Type="http://schemas.openxmlformats.org/officeDocument/2006/relationships/hyperlink" Id="rId94" Target="file://file_00000000bde861f5aabab1a3120efa52#:~:text=Hemolytic%20anemia%3A%201.5,73" TargetMode="External" /><Relationship Type="http://schemas.openxmlformats.org/officeDocument/2006/relationships/hyperlink" Id="rId191" Target="file://file_00000000bde861f5aabab1a3120efa52#:~:text=IM%20for%20severe%2C%20oral%20for,148%20pmol%2FL%20and%20symptoms" TargetMode="External" /><Relationship Type="http://schemas.openxmlformats.org/officeDocument/2006/relationships/hyperlink" Id="rId168" Target="file://file_00000000bde861f5aabab1a3120efa52#:~:text=IM%20for%20severe%2Fneuro%2C%20oral%20for,neuro%20cases%20Australia%20Age%2FSeverity%20tailored" TargetMode="External" /><Relationship Type="http://schemas.openxmlformats.org/officeDocument/2006/relationships/hyperlink" Id="rId176" Target="file://file_00000000bde861f5aabab1a3120efa52#:~:text=IM%20hydroxocobalamin%201%20mg%20every,when%20stable%3B%20oral%20for%20mild%2Fsubclinical" TargetMode="External" /><Relationship Type="http://schemas.openxmlformats.org/officeDocument/2006/relationships/hyperlink" Id="rId75" Target="file://file_00000000bde861f5aabab1a3120efa52#:~:text=Inappropriately%20low%20reticulocyte%20count%20,IM%20B12%E2%80%94not%20after%20plasma%20exchange" TargetMode="External" /><Relationship Type="http://schemas.openxmlformats.org/officeDocument/2006/relationships/hyperlink" Id="rId83" Target="file://file_00000000bde861f5aabab1a3120efa52#:~:text=Inappropriately%20low%20reticulocyte%20count%20,classic%20TTP" TargetMode="External" /><Relationship Type="http://schemas.openxmlformats.org/officeDocument/2006/relationships/hyperlink" Id="rId61" Target="file://file_00000000bde861f5aabab1a3120efa52#:~:text=Increased%20B12%20deficiency%20in%20type,susceptibility%2C%20recommend%20periodic%20B12%20screening" TargetMode="External" /><Relationship Type="http://schemas.openxmlformats.org/officeDocument/2006/relationships/hyperlink" Id="rId32" Target="file://file_00000000bde861f5aabab1a3120efa52#:~:text=Long,59" TargetMode="External" /><Relationship Type="http://schemas.openxmlformats.org/officeDocument/2006/relationships/hyperlink" Id="rId45" Target="file://file_00000000bde861f5aabab1a3120efa52#:~:text=Low%20Intake%3A%20Prevalent%20in%20vegetarians%2Fvegans%2C,Gr%C3%A4sbeck" TargetMode="External" /><Relationship Type="http://schemas.openxmlformats.org/officeDocument/2006/relationships/hyperlink" Id="rId24" Target="file://file_00000000bde861f5aabab1a3120efa52#:~:text=Low%20Intake%3A%20Prevalent%20in%20vegetarians%2Fvegans%2C,dependent" TargetMode="External" /><Relationship Type="http://schemas.openxmlformats.org/officeDocument/2006/relationships/hyperlink" Id="rId77" Target="file://file_00000000bde861f5aabab1a3120efa52#:~:text=Markedly%20low%20B12%20%28,not%20in%20TTP" TargetMode="External" /><Relationship Type="http://schemas.openxmlformats.org/officeDocument/2006/relationships/hyperlink" Id="rId55" Target="file://file_00000000bde861f5aabab1a3120efa52#:~:text=Metformin%20Users%20%2F%20PPI%20Users,Bariatric%20Surgery%20Smokers" TargetMode="External" /><Relationship Type="http://schemas.openxmlformats.org/officeDocument/2006/relationships/hyperlink" Id="rId92" Target="file://file_00000000bde861f5aabab1a3120efa52#:~:text=Monitor%20for%20rapid%20hematological%20and,TTP%20once%20B12" TargetMode="External" /><Relationship Type="http://schemas.openxmlformats.org/officeDocument/2006/relationships/hyperlink" Id="rId84" Target="file://file_00000000bde861f5aabab1a3120efa52#:~:text=Normal%2Fmildly%20reduced%20ADAMTS13%20%28%3E10,not%20in%20TTP" TargetMode="External" /><Relationship Type="http://schemas.openxmlformats.org/officeDocument/2006/relationships/hyperlink" Id="rId82" Target="file://file_00000000bde861f5aabab1a3120efa52#:~:text=Pancytopenia%20may%20coexist%20,classic%20TTP" TargetMode="External" /><Relationship Type="http://schemas.openxmlformats.org/officeDocument/2006/relationships/hyperlink" Id="rId107" Target="file://file_00000000bde861f5aabab1a3120efa52#:~:text=Prevalence%20of%20APCA%20positivity%3A%2021.4,in%20Indonesian%20dyspepsia%20patients%20screened" TargetMode="External" /><Relationship Type="http://schemas.openxmlformats.org/officeDocument/2006/relationships/hyperlink" Id="rId79" Target="file://file_00000000bde861f5aabab1a3120efa52#:~:text=Pseudo,Schistocytes%20on%20peripheral%20smear" TargetMode="External" /><Relationship Type="http://schemas.openxmlformats.org/officeDocument/2006/relationships/hyperlink" Id="rId33" Target="file://file_00000000bde861f5aabab1a3120efa52#:~:text=Pseudo,severe%20ADAMTS13%20deficiency%20or%20requirement" TargetMode="External" /><Relationship Type="http://schemas.openxmlformats.org/officeDocument/2006/relationships/hyperlink" Id="rId58" Target="file://file_00000000bde861f5aabab1a3120efa52#:~:text=Screen%20high,specific%20symptoms%20warrant%20B12%20assessment" TargetMode="External" /><Relationship Type="http://schemas.openxmlformats.org/officeDocument/2006/relationships/hyperlink" Id="rId139" Target="file://file_00000000bde861f5aabab1a3120efa52#:~:text=Sublingual%20B12%3A%20Effective%20in%20mild%2Fsubclinical,pdf%20page%204%20of%2064" TargetMode="External" /><Relationship Type="http://schemas.openxmlformats.org/officeDocument/2006/relationships/hyperlink" Id="rId91" Target="file://file_00000000bde861f5aabab1a3120efa52#:~:text=Suspect%20pseudo,86" TargetMode="External" /><Relationship Type="http://schemas.openxmlformats.org/officeDocument/2006/relationships/hyperlink" Id="rId81" Target="file://file_00000000bde861f5aabab1a3120efa52#:~:text=Suspect%20pseudo,TMA%20with%20macrocytosis%20before%20plasmapheresis" TargetMode="External" /><Relationship Type="http://schemas.openxmlformats.org/officeDocument/2006/relationships/hyperlink" Id="rId76" Target="file://file_00000000bde861f5aabab1a3120efa52#:~:text=TTP,not%20seen%20in%20TTP" TargetMode="External" /><Relationship Type="http://schemas.openxmlformats.org/officeDocument/2006/relationships/hyperlink" Id="rId108" Target="file://file_00000000bde861f5aabab1a3120efa52#:~:text=Type%201%20Diabetes%20Mellitus%20,likely%20underestimated" TargetMode="External" /><Relationship Type="http://schemas.openxmlformats.org/officeDocument/2006/relationships/hyperlink" Id="rId90" Target="file://file_00000000bde861f5aabab1a3120efa52#:~:text=Up%20to%2040%25%20of%20pseudo,presentations%20with%20macrocytosis%20and%20mild" TargetMode="External" /><Relationship Type="http://schemas.openxmlformats.org/officeDocument/2006/relationships/hyperlink" Id="rId73" Target="file://file_00000000bde861f5aabab1a3120efa52#:~:text=Usually%20part%20of%20pancytopenia%20in,for%20detecting%20B12%20deficiency" TargetMode="External" /><Relationship Type="http://schemas.openxmlformats.org/officeDocument/2006/relationships/hyperlink" Id="rId52" Target="file://file_00000000bde861f5aabab1a3120efa52#:~:text=b%29%20Metformin%20Use%3A%20Estimated%2010%E2%80%9325,Other%20FBCM%20causes" TargetMode="External" /><Relationship Type="http://schemas.openxmlformats.org/officeDocument/2006/relationships/hyperlink" Id="rId197" Target="file://file_00000000bde861f5aabab1a3120efa52#:~:text=borderline%20IM%2FSC%20loading%20doses%2C%20oral,Western%20Europe%2C%20tailored%20to%20clinical" TargetMode="External" /><Relationship Type="http://schemas.openxmlformats.org/officeDocument/2006/relationships/hyperlink" Id="rId23" Target="file://file_00000000bde861f5aabab1a3120efa52#:~:text=function%2C%20and%20red%20blood%20cell,impairs%20myelin%20integrity%20and%20blood" TargetMode="External" /><Relationship Type="http://schemas.openxmlformats.org/officeDocument/2006/relationships/hyperlink" Id="rId21" Target="file://file_00000000bde861f5aabab1a3120efa52#:~:text=further%20depend%20on%20transporters%20and,leading%20to%20varied%20clinical%20presentations" TargetMode="External" /><Relationship Type="http://schemas.openxmlformats.org/officeDocument/2006/relationships/hyperlink" Id="rId67" Target="file://file_00000000bde861f5aabab1a3120efa52#:~:text=markers,risk%20populations" TargetMode="External" /><Relationship Type="http://schemas.openxmlformats.org/officeDocument/2006/relationships/hyperlink" Id="rId124" Target="file://file_00000000bde861f5aabab1a3120efa52#:~:text=markers,risk%20populations.%20%5B5%5D%20%5B2" TargetMode="External" /><Relationship Type="http://schemas.openxmlformats.org/officeDocument/2006/relationships/hyperlink" Id="rId86" Target="file://file_00000000bde861f5aabab1a3120efa52#:~:text=match%20at%20L1505%20Normal%2Fmildly%20reduced,not%20in%20TTP" TargetMode="External" /><Relationship Type="http://schemas.openxmlformats.org/officeDocument/2006/relationships/hyperlink" Id="rId80" Target="file://file_00000000bde861f5aabab1a3120efa52#:~:text=match%20at%20L182%20Inappropriately%20low,IM%20B12%E2%80%94not%20after%20plasma%20exchange" TargetMode="External" /><Relationship Type="http://schemas.openxmlformats.org/officeDocument/2006/relationships/hyperlink" Id="rId89" Target="file://file_00000000bde861f5aabab1a3120efa52#:~:text=match%20at%20L187%20Up%20to,presentations%20with%20macrocytosis%20and%20mild" TargetMode="External" /><Relationship Type="http://schemas.openxmlformats.org/officeDocument/2006/relationships/hyperlink" Id="rId155" Target="file://file_00000000bde861f5aabab1a3120efa52#:~:text=match%20at%20L1984%20,dose%20supplementation%20%5B373" TargetMode="External" /><Relationship Type="http://schemas.openxmlformats.org/officeDocument/2006/relationships/hyperlink" Id="rId203" Target="file://file_00000000bde861f5aabab1a3120efa52#:~:text=match%20at%20L2057%20increased%20use,of%20B12" TargetMode="External" /><Relationship Type="http://schemas.openxmlformats.org/officeDocument/2006/relationships/hyperlink" Id="rId56" Target="file://file_00000000bde861f5aabab1a3120efa52#:~:text=match%20at%20L2100%20Metformin%3A%20up,after%20%E2%89%A512%20months%20of%20use" TargetMode="External" /><Relationship Type="http://schemas.openxmlformats.org/officeDocument/2006/relationships/hyperlink" Id="rId88" Target="file://file_00000000bde861f5aabab1a3120efa52#:~:text=match%20at%20L2144%20Pseudo,distinguish%20from%20true%20TTP%20promptly" TargetMode="External" /><Relationship Type="http://schemas.openxmlformats.org/officeDocument/2006/relationships/hyperlink" Id="rId78" Target="file://file_00000000bde861f5aabab1a3120efa52#:~:text=match%20at%20L369%20Hemolytic%20anemia%3A,of%20deficiency%20patients" TargetMode="External" /><Relationship Type="http://schemas.openxmlformats.org/officeDocument/2006/relationships/hyperlink" Id="rId54" Target="file://file_00000000bde861f5aabab1a3120efa52#:~:text=match%20at%20L824%20Prevalence%20of,users%20%28OR%202.95%29%20%5B224" TargetMode="External" /><Relationship Type="http://schemas.openxmlformats.org/officeDocument/2006/relationships/hyperlink" Id="rId71" Target="file://file_00000000bde861f5aabab1a3120efa52#:~:text=match%20at%20L957%20pseudo,for%20detecting%20B12%20deficiency" TargetMode="External" /><Relationship Type="http://schemas.openxmlformats.org/officeDocument/2006/relationships/hyperlink" Id="rId72" Target="file://file_00000000bde861f5aabab1a3120efa52#:~:text=pseudo,for%20detecting%20B12%20deficiency" TargetMode="External" /><Relationship Type="http://schemas.openxmlformats.org/officeDocument/2006/relationships/hyperlink" Id="rId85" Target="file://file_00000000bde861f5aabab1a3120efa52#:~:text=thrombocytopenia%2C%20mimicking%20true%20TTP%20but,severe%20ADAMTS13%20deficiency%20or%20requirement" TargetMode="External" /><Relationship Type="http://schemas.openxmlformats.org/officeDocument/2006/relationships/hyperlink" Id="rId87" Target="file://file_00000000bde861f5aabab1a3120efa52#:~:text=thrombotic%20thrombocytopenic%20purpura%20,up%20to%2040" TargetMode="External" /><Relationship Type="http://schemas.openxmlformats.org/officeDocument/2006/relationships/hyperlink" Id="rId136" Target="file://file_00000000bde861f5aabab1a3120efa52#:~:text=~500%20%C2%B5g%3A%201,373" TargetMode="External" /><Relationship Type="http://schemas.openxmlformats.org/officeDocument/2006/relationships/hyperlink" Id="rId223" Target="https://academic.oup.com/clinchem/advance-article-abstract/doi/10.1093/clinchem/hvaf037/8098143" TargetMode="External" /><Relationship Type="http://schemas.openxmlformats.org/officeDocument/2006/relationships/hyperlink" Id="rId117" Target="https://academic.oup.com/clinchem/advance-article-abstract/doi/10.1093/clinchem/hvaf037/8098143#:~:text=,deficiency%20and%20only%20the" TargetMode="External" /><Relationship Type="http://schemas.openxmlformats.org/officeDocument/2006/relationships/hyperlink" Id="rId231" Target="https://ashpublications.org/blood/article/112/6/2214/24841/How-I-treat-cobalamin-vitamin-B12-deficiency" TargetMode="External" /><Relationship Type="http://schemas.openxmlformats.org/officeDocument/2006/relationships/hyperlink" Id="rId175" Target="https://ashpublications.org/blood/article/112/6/2214/24841/How-I-treat-cobalamin-vitamin-B12-deficiency#:~:text=How%20I%20treat%20cobalamin%20," TargetMode="External" /><Relationship Type="http://schemas.openxmlformats.org/officeDocument/2006/relationships/hyperlink" Id="rId234" Target="https://b12-institute.nl/en/diagnosis/" TargetMode="External" /><Relationship Type="http://schemas.openxmlformats.org/officeDocument/2006/relationships/hyperlink" Id="rId190" Target="https://b12-institute.nl/en/diagnosis/#:~:text=Diagnosis%20,NHG%202024%2C%20WHO%202013%2C" TargetMode="External" /><Relationship Type="http://schemas.openxmlformats.org/officeDocument/2006/relationships/hyperlink" Id="rId216" Target="https://en.wikipedia.org/wiki/Vitamin_B12_deficiency" TargetMode="External" /><Relationship Type="http://schemas.openxmlformats.org/officeDocument/2006/relationships/hyperlink" Id="rId39" Target="https://en.wikipedia.org/wiki/Vitamin_B12_deficiency#:~:text=Vitamin%20B12%20deficiency%20,result%20in%20raised%20homocysteine%20levels" TargetMode="External" /><Relationship Type="http://schemas.openxmlformats.org/officeDocument/2006/relationships/hyperlink" Id="rId235" Target="https://japanjournalofmedicine.com/state-of-art-of-oral-vitamin-b12-cobalamin-in-biermers-disease-pernicious-anemia" TargetMode="External" /><Relationship Type="http://schemas.openxmlformats.org/officeDocument/2006/relationships/hyperlink" Id="rId192" Target="https://japanjournalofmedicine.com/state-of-art-of-oral-vitamin-b12-cobalamin-in-biermers-disease-pernicious-anemia#:~:text=State%20of%20Art%20of%20Oral,pernicious" TargetMode="External" /><Relationship Type="http://schemas.openxmlformats.org/officeDocument/2006/relationships/hyperlink" Id="rId236" Target="https://nhssomerset.nhs.uk/news/document/b12_-_advice_on_investigation_management/" TargetMode="External" /><Relationship Type="http://schemas.openxmlformats.org/officeDocument/2006/relationships/hyperlink" Id="rId193" Target="https://nhssomerset.nhs.uk/news/document/b12_-_advice_on_investigation_management/#:~:text=with" TargetMode="External" /><Relationship Type="http://schemas.openxmlformats.org/officeDocument/2006/relationships/hyperlink" Id="rId218" Target="https://ods.od.nih.gov/factsheets/VitaminB%E2%82%81%E2%82%82-HealthProfessional/" TargetMode="External" /><Relationship Type="http://schemas.openxmlformats.org/officeDocument/2006/relationships/hyperlink" Id="rId103" Target="https://ods.od.nih.gov/factsheets/VitaminB%E2%82%81%E2%82%82-HealthProfessional/#:~:text=RCTs%20have%20found%20that%20vitamin,levels%20but%20not%20CVD%20risk" TargetMode="External" /><Relationship Type="http://schemas.openxmlformats.org/officeDocument/2006/relationships/hyperlink" Id="rId220" Target="https://onlinelibrary.wiley.com/doi/10.1111/j.1365-2796.2011.02485.x" TargetMode="External" /><Relationship Type="http://schemas.openxmlformats.org/officeDocument/2006/relationships/hyperlink" Id="rId113" Target="https://onlinelibrary.wiley.com/doi/10.1111/j.1365-2796.2011.02485.x#:~:text=Do%20we%20need%20to%20reconsider,treating%20patients%20who%20show" TargetMode="External" /><Relationship Type="http://schemas.openxmlformats.org/officeDocument/2006/relationships/hyperlink" Id="rId219" Target="https://pernicious-anaemia-society.org/articles/testing-for-pernicious-anaemia/" TargetMode="External" /><Relationship Type="http://schemas.openxmlformats.org/officeDocument/2006/relationships/hyperlink" Id="rId112" Target="https://pernicious-anaemia-society.org/articles/testing-for-pernicious-anaemia/#:~:text=Testing%20for%20Pernicious%20Anaemia%20They,the%20machines%20that%20are" TargetMode="External" /><Relationship Type="http://schemas.openxmlformats.org/officeDocument/2006/relationships/hyperlink" Id="rId222" Target="https://pmc.ncbi.nlm.nih.gov/articles/PMC11128391/" TargetMode="External" /><Relationship Type="http://schemas.openxmlformats.org/officeDocument/2006/relationships/hyperlink" Id="rId115" Target="https://pmc.ncbi.nlm.nih.gov/articles/PMC11128391/#:~:text=,are%20associated%20with%20reduced" TargetMode="External" /><Relationship Type="http://schemas.openxmlformats.org/officeDocument/2006/relationships/hyperlink" Id="rId116" Target="https://pmc.ncbi.nlm.nih.gov/articles/PMC11128391/#:~:text=Efficacy%20of%20different%20routes%20of,are%20associated%20with%20reduced" TargetMode="External" /><Relationship Type="http://schemas.openxmlformats.org/officeDocument/2006/relationships/hyperlink" Id="rId214" Target="https://pmc.ncbi.nlm.nih.gov/articles/PMC4953733/" TargetMode="External" /><Relationship Type="http://schemas.openxmlformats.org/officeDocument/2006/relationships/hyperlink" Id="rId37" Target="https://pmc.ncbi.nlm.nih.gov/articles/PMC4953733/#:~:text=NIH%20pmc,of%20those%20aged%2020%E2%80%9339" TargetMode="External" /><Relationship Type="http://schemas.openxmlformats.org/officeDocument/2006/relationships/hyperlink" Id="rId212" Target="https://pmc.ncbi.nlm.nih.gov/articles/PMC5312744/" TargetMode="External" /><Relationship Type="http://schemas.openxmlformats.org/officeDocument/2006/relationships/hyperlink" Id="rId68" Target="https://pmc.ncbi.nlm.nih.gov/articles/PMC5312744/#:~:text=Chalmers8%20%20reviewed%20the%20results,review%20has%20proposed%20the%20discontinuation" TargetMode="External" /><Relationship Type="http://schemas.openxmlformats.org/officeDocument/2006/relationships/hyperlink" Id="rId165" Target="https://pmc.ncbi.nlm.nih.gov/articles/PMC5312744/#:~:text=Conclusions" TargetMode="External" /><Relationship Type="http://schemas.openxmlformats.org/officeDocument/2006/relationships/hyperlink" Id="rId147" Target="https://pmc.ncbi.nlm.nih.gov/articles/PMC5312744/#:~:text=MeCbl,7" TargetMode="External" /><Relationship Type="http://schemas.openxmlformats.org/officeDocument/2006/relationships/hyperlink" Id="rId30" Target="https://pmc.ncbi.nlm.nih.gov/articles/PMC5312744/#:~:text=One%20animal%20study%20compared%20the,7" TargetMode="External" /><Relationship Type="http://schemas.openxmlformats.org/officeDocument/2006/relationships/hyperlink" Id="rId66" Target="https://pmc.ncbi.nlm.nih.gov/articles/PMC5312744/#:~:text=Supplementing%20with%20any%20of%20the,individuals%20may%20require%20either%20a" TargetMode="External" /><Relationship Type="http://schemas.openxmlformats.org/officeDocument/2006/relationships/hyperlink" Id="rId27" Target="https://pmc.ncbi.nlm.nih.gov/articles/PMC5312744/#:~:text=The%20studies%20reviewed%20provide%20evidence,the%20efficiency%20of%20absorption%2C%20blood" TargetMode="External" /><Relationship Type="http://schemas.openxmlformats.org/officeDocument/2006/relationships/hyperlink" Id="rId26" Target="https://pmc.ncbi.nlm.nih.gov/articles/PMC5312744/#:~:text=The%20studies%20reviewed%20provide%20evidence,used%20in%20the%20synthesis%20of" TargetMode="External" /><Relationship Type="http://schemas.openxmlformats.org/officeDocument/2006/relationships/hyperlink" Id="rId25" Target="https://pmc.ncbi.nlm.nih.gov/articles/PMC5312744/#:~:text=Three%20natural%20forms%20of%20vitamin,from%20smoking%20or%20other%20sources" TargetMode="External" /><Relationship Type="http://schemas.openxmlformats.org/officeDocument/2006/relationships/hyperlink" Id="rId31" Target="https://pmc.ncbi.nlm.nih.gov/articles/PMC5312744/#:~:text=are%20concerned%20about%20cyanide%20accumulation,10" TargetMode="External" /><Relationship Type="http://schemas.openxmlformats.org/officeDocument/2006/relationships/hyperlink" Id="rId65" Target="https://pmc.ncbi.nlm.nih.gov/articles/PMC5312744/#:~:text=intracellular%20MeCbl%20and%20AdCbl%2C%20respectively,cellular%20uptake%2C%20and%20intracellular%20transformations" TargetMode="External" /><Relationship Type="http://schemas.openxmlformats.org/officeDocument/2006/relationships/hyperlink" Id="rId156" Target="https://pmc.ncbi.nlm.nih.gov/articles/PMC5312744/#:~:text=lower%20efficiency%20in%20cellular%20uptake,10" TargetMode="External" /><Relationship Type="http://schemas.openxmlformats.org/officeDocument/2006/relationships/hyperlink" Id="rId158" Target="https://pmc.ncbi.nlm.nih.gov/articles/PMC5312744/#:~:text=the%20liver%20than%20did%20CNCbl,7" TargetMode="External" /><Relationship Type="http://schemas.openxmlformats.org/officeDocument/2006/relationships/hyperlink" Id="rId232" Target="https://pmc.ncbi.nlm.nih.gov/articles/PMC6590120/" TargetMode="External" /><Relationship Type="http://schemas.openxmlformats.org/officeDocument/2006/relationships/hyperlink" Id="rId188" Target="https://pmc.ncbi.nlm.nih.gov/articles/PMC6590120/#:~:text=B12%20pmc,0%20%C2%B5g%20d%E2%88%921" TargetMode="External" /><Relationship Type="http://schemas.openxmlformats.org/officeDocument/2006/relationships/hyperlink" Id="rId213" Target="https://practicenurse.co.uk/articles/nursing-practice/b12-deficiency-and-replacement-in-general-practice" TargetMode="External" /><Relationship Type="http://schemas.openxmlformats.org/officeDocument/2006/relationships/hyperlink" Id="rId153" Target="https://practicenurse.co.uk/articles/nursing-practice/b12-deficiency-and-replacement-in-general-practice#:~:text=ANAEMIA%3A%20CASE%20STUDIES" TargetMode="External" /><Relationship Type="http://schemas.openxmlformats.org/officeDocument/2006/relationships/hyperlink" Id="rId146" Target="https://practicenurse.co.uk/articles/nursing-practice/b12-deficiency-and-replacement-in-general-practice#:~:text=Electronic%20Medicines%20Compendium12%20recommends%20a,every%20two%20or%20three%20months" TargetMode="External" /><Relationship Type="http://schemas.openxmlformats.org/officeDocument/2006/relationships/hyperlink" Id="rId70" Target="https://practicenurse.co.uk/articles/nursing-practice/b12-deficiency-and-replacement-in-general-practice#:~:text=For%20some%20people%2C%20B12%20deficiency,is%20why%20it%20is%20so" TargetMode="External" /><Relationship Type="http://schemas.openxmlformats.org/officeDocument/2006/relationships/hyperlink" Id="rId140" Target="https://practicenurse.co.uk/articles/nursing-practice/b12-deficiency-and-replacement-in-general-practice#:~:text=For%20vitamin%20B12%20replacement%20in,deficiency%20and%20neurological%20involvement%2C%20EMC" TargetMode="External" /><Relationship Type="http://schemas.openxmlformats.org/officeDocument/2006/relationships/hyperlink" Id="rId74" Target="https://practicenurse.co.uk/articles/nursing-practice/b12-deficiency-and-replacement-in-general-practice#:~:text=In%20cases%20of%20B12%20deficiency%2C,B12%20deficiency%2C%20which%20if%20left" TargetMode="External" /><Relationship Type="http://schemas.openxmlformats.org/officeDocument/2006/relationships/hyperlink" Id="rId148" Target="https://practicenurse.co.uk/articles/nursing-practice/b12-deficiency-and-replacement-in-general-practice#:~:text=In%20cases%20of%20dietary%20deficiency%2C,3" TargetMode="External" /><Relationship Type="http://schemas.openxmlformats.org/officeDocument/2006/relationships/hyperlink" Id="rId51" Target="https://practicenurse.co.uk/articles/nursing-practice/b12-deficiency-and-replacement-in-general-practice#:~:text=Metformin,10" TargetMode="External" /><Relationship Type="http://schemas.openxmlformats.org/officeDocument/2006/relationships/hyperlink" Id="rId152" Target="https://practicenurse.co.uk/articles/nursing-practice/b12-deficiency-and-replacement-in-general-practice#:~:text=NICE%20recommends%20repeating%20the%20full,checked%20again%20after%204%20months" TargetMode="External" /><Relationship Type="http://schemas.openxmlformats.org/officeDocument/2006/relationships/hyperlink" Id="rId154" Target="https://practicenurse.co.uk/articles/nursing-practice/b12-deficiency-and-replacement-in-general-practice#:~:text=ONGOING%20MONITORING" TargetMode="External" /><Relationship Type="http://schemas.openxmlformats.org/officeDocument/2006/relationships/hyperlink" Id="rId134" Target="https://practicenurse.co.uk/articles/nursing-practice/b12-deficiency-and-replacement-in-general-practice#:~:text=SELF" TargetMode="External" /><Relationship Type="http://schemas.openxmlformats.org/officeDocument/2006/relationships/hyperlink" Id="rId36" Target="https://practicenurse.co.uk/articles/nursing-practice/b12-deficiency-and-replacement-in-general-practice#:~:text=The%20overall%20UK%20prevalence%20of,and%20some%20medication%20use%2C%20such" TargetMode="External" /><Relationship Type="http://schemas.openxmlformats.org/officeDocument/2006/relationships/hyperlink" Id="rId102" Target="https://practicenurse.co.uk/articles/nursing-practice/b12-deficiency-and-replacement-in-general-practice#:~:text=WHY%20B12%20DEFICIENCY%20OCCURS" TargetMode="External" /><Relationship Type="http://schemas.openxmlformats.org/officeDocument/2006/relationships/hyperlink" Id="rId127" Target="https://practicenurse.co.uk/articles/nursing-practice/b12-deficiency-and-replacement-in-general-practice#:~:text=also%20reduced%20but%20the%20red,2" TargetMode="External" /><Relationship Type="http://schemas.openxmlformats.org/officeDocument/2006/relationships/hyperlink" Id="rId204" Target="https://practicenurse.co.uk/articles/nursing-practice/b12-deficiency-and-replacement-in-general-practice#:~:text=examination%20and%20investigations" TargetMode="External" /><Relationship Type="http://schemas.openxmlformats.org/officeDocument/2006/relationships/hyperlink" Id="rId98" Target="https://practicenurse.co.uk/articles/nursing-practice/b12-deficiency-and-replacement-in-general-practice#:~:text=include%20brain%20fog%2C%20vascular%20disease,note%2C%20at%20this%20time%2C%20some" TargetMode="External" /><Relationship Type="http://schemas.openxmlformats.org/officeDocument/2006/relationships/hyperlink" Id="rId149" Target="https://practicenurse.co.uk/articles/nursing-practice/b12-deficiency-and-replacement-in-general-practice#:~:text=injections%20given%20every%202,3" TargetMode="External" /><Relationship Type="http://schemas.openxmlformats.org/officeDocument/2006/relationships/hyperlink" Id="rId97" Target="https://practicenurse.co.uk/articles/nursing-practice/b12-deficiency-and-replacement-in-general-practice#:~:text=needles%2C%20burning%20sensations%20or%20numbness,before%20putting%20them%20down%20to" TargetMode="External" /><Relationship Type="http://schemas.openxmlformats.org/officeDocument/2006/relationships/hyperlink" Id="rId141" Target="https://practicenurse.co.uk/articles/nursing-practice/b12-deficiency-and-replacement-in-general-practice#:~:text=states%20that%20a%20dose%20of,every%20two%20or%20three%20months" TargetMode="External" /><Relationship Type="http://schemas.openxmlformats.org/officeDocument/2006/relationships/hyperlink" Id="rId96" Target="https://practicenurse.co.uk/articles/nursing-practice/b12-deficiency-and-replacement-in-general-practice#:~:text=symptomatic%2C%20it%20may%20take%20years,note%2C%20at%20this%20time%2C%20some" TargetMode="External" /><Relationship Type="http://schemas.openxmlformats.org/officeDocument/2006/relationships/hyperlink" Id="rId128" Target="https://practicenurse.co.uk/articles/nursing-practice/b12-deficiency-and-replacement-in-general-practice#:~:text=the%20population%20being%20studied.,Bacterial%20infections%20of%20the" TargetMode="External" /><Relationship Type="http://schemas.openxmlformats.org/officeDocument/2006/relationships/hyperlink" Id="rId228" Target="https://wchh.onlinelibrary.wiley.com/do/10.1002/psb.0010149" TargetMode="External" /><Relationship Type="http://schemas.openxmlformats.org/officeDocument/2006/relationships/hyperlink" Id="rId122" Target="https://wchh.onlinelibrary.wiley.com/do/10.1002/psb.0010149#:~:text=deficiency%20wchh,people%2C%20but%20the%20latter" TargetMode="External" /><Relationship Type="http://schemas.openxmlformats.org/officeDocument/2006/relationships/hyperlink" Id="rId221" Target="https://www.bmj.com/content/383/bmj-2022-071725" TargetMode="External" /><Relationship Type="http://schemas.openxmlformats.org/officeDocument/2006/relationships/hyperlink" Id="rId114" Target="https://www.bmj.com/content/383/bmj-2022-071725#:~:text=Vitamin%20B12%20,deficiency%20and%20is%20sufficient" TargetMode="External" /><Relationship Type="http://schemas.openxmlformats.org/officeDocument/2006/relationships/hyperlink" Id="rId238" Target="https://www.clancymedicalgroup.com/vitamin-b12/" TargetMode="External" /><Relationship Type="http://schemas.openxmlformats.org/officeDocument/2006/relationships/hyperlink" Id="rId196" Target="https://www.clancymedicalgroup.com/vitamin-b12/#:~:text=Diagnosing%20B12%20Deficiency,below%20500%20pg%2FmL%20to" TargetMode="External" /><Relationship Type="http://schemas.openxmlformats.org/officeDocument/2006/relationships/hyperlink" Id="rId237" Target="https://www.droracle.ai/articles/88503/what-is-a-normal-b12-level" TargetMode="External" /><Relationship Type="http://schemas.openxmlformats.org/officeDocument/2006/relationships/hyperlink" Id="rId195" Target="https://www.droracle.ai/articles/88503/what-is-a-normal-b12-level#:~:text=In%20southwestern%20Colombia%2C%20the%20prevalence,2%3B%20B12%20deficiency%20is" TargetMode="External" /><Relationship Type="http://schemas.openxmlformats.org/officeDocument/2006/relationships/hyperlink" Id="rId230" Target="https://www.hweclinicalguidance.nhs.uk/all-clinical-areas-documents/download?cid=2951&amp;checksum=02180771a9b609a26dcea07f272e141f" TargetMode="External" /><Relationship Type="http://schemas.openxmlformats.org/officeDocument/2006/relationships/hyperlink" Id="rId174" Target="https://www.hweclinicalguidance.nhs.uk/all-clinical-areas-documents/download?cid=2951&amp;checksum=02180771a9b609a26dcea07f272e141f#:~:text=,Conditions%20for%20which%20over" TargetMode="External" /><Relationship Type="http://schemas.openxmlformats.org/officeDocument/2006/relationships/hyperlink" Id="rId239" Target="https://www.mdpi.com/2072-6643/15/10/2357" TargetMode="External" /><Relationship Type="http://schemas.openxmlformats.org/officeDocument/2006/relationships/hyperlink" Id="rId206" Target="https://www.mdpi.com/2072-6643/15/10/2357#:~:text=Population%20Status%20of%20Vitamin%20B12,9" TargetMode="External" /><Relationship Type="http://schemas.openxmlformats.org/officeDocument/2006/relationships/hyperlink" Id="rId217" Target="https://www.mdpi.com/2077-0383/13/8/2176" TargetMode="External" /><Relationship Type="http://schemas.openxmlformats.org/officeDocument/2006/relationships/hyperlink" Id="rId186" Target="https://www.mdpi.com/2077-0383/13/8/2176#:~:text=,should%20receive%20prophylactic%20B12%20supplementation" TargetMode="External" /><Relationship Type="http://schemas.openxmlformats.org/officeDocument/2006/relationships/hyperlink" Id="rId179" Target="https://www.mdpi.com/2077-0383/13/8/2176#:~:text=,to%20use%20prophylactic%20B12%20supplementation" TargetMode="External" /><Relationship Type="http://schemas.openxmlformats.org/officeDocument/2006/relationships/hyperlink" Id="rId137" Target="https://www.mdpi.com/2077-0383/13/8/2176#:~:text=12,Elboraay%2C%20T" TargetMode="External" /><Relationship Type="http://schemas.openxmlformats.org/officeDocument/2006/relationships/hyperlink" Id="rId142" Target="https://www.mdpi.com/2077-0383/13/8/2176#:~:text=15,CrossRef" TargetMode="External" /><Relationship Type="http://schemas.openxmlformats.org/officeDocument/2006/relationships/hyperlink" Id="rId150" Target="https://www.mdpi.com/2077-0383/13/8/2176#:~:text=B12%2C%20therapeutic%20doses%20between%201000,The%20clinical%20response" TargetMode="External" /><Relationship Type="http://schemas.openxmlformats.org/officeDocument/2006/relationships/hyperlink" Id="rId180" Target="https://www.mdpi.com/2077-0383/13/8/2176#:~:text=In%20people%20with%20vitamin%20B12,serum%20concentrations%20of%20vitamin%20B12" TargetMode="External" /><Relationship Type="http://schemas.openxmlformats.org/officeDocument/2006/relationships/hyperlink" Id="rId151" Target="https://www.mdpi.com/2077-0383/13/8/2176#:~:text=Villalba%2C%20M.%3B%20G%C3%B3mez,Google%20Scholar" TargetMode="External" /><Relationship Type="http://schemas.openxmlformats.org/officeDocument/2006/relationships/hyperlink" Id="rId109" Target="https://www.mdpi.com/2077-0383/13/8/2176#:~:text=considered%20for%20long,The" TargetMode="External" /><Relationship Type="http://schemas.openxmlformats.org/officeDocument/2006/relationships/hyperlink" Id="rId130" Target="https://www.mdpi.com/2077-0383/13/8/2176#:~:text=effectiveness%20of%20parenteral%20and%20high,13%2C14%2C15" TargetMode="External" /><Relationship Type="http://schemas.openxmlformats.org/officeDocument/2006/relationships/hyperlink" Id="rId131" Target="https://www.mdpi.com/2077-0383/13/8/2176#:~:text=high%20oral%20B12%20,methylcobalamin%20are%20safe%20and%20beneficial" TargetMode="External" /><Relationship Type="http://schemas.openxmlformats.org/officeDocument/2006/relationships/hyperlink" Id="rId187" Target="https://www.mdpi.com/2077-0383/13/8/2176#:~:text=lactation%2C%20and%20infancy%20should%20receive,who%20are%20at%20risk%20of" TargetMode="External" /><Relationship Type="http://schemas.openxmlformats.org/officeDocument/2006/relationships/hyperlink" Id="rId143" Target="https://www.mdpi.com/2077-0383/13/8/2176#:~:text=low%20in%20foods%20from%20animal,who%20have%20had%20gastric%20surgery" TargetMode="External" /><Relationship Type="http://schemas.openxmlformats.org/officeDocument/2006/relationships/hyperlink" Id="rId182" Target="https://www.mdpi.com/2077-0383/13/8/2176#:~:text=match%20at%20L1075%20to%20alleviate,B12%2C%20especially%20if%20oral%20B12" TargetMode="External" /><Relationship Type="http://schemas.openxmlformats.org/officeDocument/2006/relationships/hyperlink" Id="rId135" Target="https://www.mdpi.com/2077-0383/13/8/2176#:~:text=match%20at%20L1168%20B12%2C%20therapeutic,The%20clinical%20response" TargetMode="External" /><Relationship Type="http://schemas.openxmlformats.org/officeDocument/2006/relationships/hyperlink" Id="rId184" Target="https://www.mdpi.com/2077-0383/13/8/2176#:~:text=match%20at%20L1983%20,to%20use%20prophylactic%20B12%20supplementation" TargetMode="External" /><Relationship Type="http://schemas.openxmlformats.org/officeDocument/2006/relationships/hyperlink" Id="rId185" Target="https://www.mdpi.com/2077-0383/13/8/2176#:~:text=match%20at%20L2006%20,B12%20treatment%20over%20oral%20treatment" TargetMode="External" /><Relationship Type="http://schemas.openxmlformats.org/officeDocument/2006/relationships/hyperlink" Id="rId183" Target="https://www.mdpi.com/2077-0383/13/8/2176#:~:text=match%20at%20L2016%20,term%20treatment" TargetMode="External" /><Relationship Type="http://schemas.openxmlformats.org/officeDocument/2006/relationships/hyperlink" Id="rId178" Target="https://www.mdpi.com/2077-0383/13/8/2176#:~:text=match%20at%20L685%20considered%20for,The" TargetMode="External" /><Relationship Type="http://schemas.openxmlformats.org/officeDocument/2006/relationships/hyperlink" Id="rId181" Target="https://www.mdpi.com/2077-0383/13/8/2176#:~:text=to%20alleviate%20the%20patient%E2%80%99s%20symptoms%2C,B12%2C%20especially%20if%20oral%20B12" TargetMode="External" /><Relationship Type="http://schemas.openxmlformats.org/officeDocument/2006/relationships/hyperlink" Id="rId100" Target="https://www.mdpi.com/2077-0383/13/8/2176#:~:text=treating%20B12%20deficiency,Patient%20lifestyle%2C%20disease%20history" TargetMode="External" /><Relationship Type="http://schemas.openxmlformats.org/officeDocument/2006/relationships/hyperlink" Id="rId227" Target="https://www.nice.org.uk/guidance/mib40/resources/active-b12-assay-for-diagnosing-vitamin-b12-deficiency-pdf-63499159342789" TargetMode="External" /><Relationship Type="http://schemas.openxmlformats.org/officeDocument/2006/relationships/hyperlink" Id="rId121" Target="https://www.nice.org.uk/guidance/mib40/resources/active-b12-assay-for-diagnosing-vitamin-b12-deficiency-pdf-63499159342789#:~:text=,number%20of%20indeterminate%20results%2C" TargetMode="External" /><Relationship Type="http://schemas.openxmlformats.org/officeDocument/2006/relationships/hyperlink" Id="rId229" Target="https://www.nice.org.uk/guidance/ng239" TargetMode="External" /><Relationship Type="http://schemas.openxmlformats.org/officeDocument/2006/relationships/hyperlink" Id="rId125" Target="https://www.nice.org.uk/guidance/ng239#:~:text=This%20guideline%20covers%20recognising%2C%20diagnosing,in%20people%20with%20autoimmune%20gastritis" TargetMode="External" /><Relationship Type="http://schemas.openxmlformats.org/officeDocument/2006/relationships/hyperlink" Id="rId126" Target="https://www.nice.org.uk/guidance/ng239#:~:text=condition%20%20,or%20confirmed%20vitamin%20B12%20deficiency" TargetMode="External" /><Relationship Type="http://schemas.openxmlformats.org/officeDocument/2006/relationships/hyperlink" Id="rId225" Target="https://www.nice.org.uk/guidance/ng239/chapter/recommendations" TargetMode="External" /><Relationship Type="http://schemas.openxmlformats.org/officeDocument/2006/relationships/hyperlink" Id="rId119" Target="https://www.nice.org.uk/guidance/ng239/chapter/recommendations#:~:text=management%20www,suspected%20vitamin%20B12%20deficiency" TargetMode="External" /><Relationship Type="http://schemas.openxmlformats.org/officeDocument/2006/relationships/hyperlink" Id="rId224" Target="https://www.nottsapc.nhs.uk/media/3xufkasz/vitamin-b12-treatment-guideline.pdf" TargetMode="External" /><Relationship Type="http://schemas.openxmlformats.org/officeDocument/2006/relationships/hyperlink" Id="rId173" Target="https://www.nottsapc.nhs.uk/media/3xufkasz/vitamin-b12-treatment-guideline.pdf#:~:text=,NO" TargetMode="External" /><Relationship Type="http://schemas.openxmlformats.org/officeDocument/2006/relationships/hyperlink" Id="rId118" Target="https://www.nottsapc.nhs.uk/media/3xufkasz/vitamin-b12-treatment-guideline.pdf#:~:text=,Specialist" TargetMode="External" /><Relationship Type="http://schemas.openxmlformats.org/officeDocument/2006/relationships/hyperlink" Id="rId226" Target="https://www.pulsetoday.co.uk/clinical-feature/clinical-areas/gastroenterology-obesity/what-gps-need-to-know-about-nices-vitamin-b12-deficiency-guidance/" TargetMode="External" /><Relationship Type="http://schemas.openxmlformats.org/officeDocument/2006/relationships/hyperlink" Id="rId120" Target="https://www.pulsetoday.co.uk/clinical-feature/clinical-areas/gastroenterology-obesity/what-gps-need-to-know-about-nices-vitamin-b12-deficiency-guidance/#:~:text=What%20GPs%20need%20to%20know,If" TargetMode="External" /><Relationship Type="http://schemas.openxmlformats.org/officeDocument/2006/relationships/hyperlink" Id="rId211" Target="https://www.reddit.com/r/vegan/comments/1ev14uk/psa_methylcobalamin_does_not_cover_all_necessary/" TargetMode="External" /><Relationship Type="http://schemas.openxmlformats.org/officeDocument/2006/relationships/hyperlink" Id="rId22" Target="https://www.reddit.com/r/vegan/comments/1ev14uk/psa_methylcobalamin_does_not_cover_all_necessary/#:~:text=%E2%80%A2%20Quote%3A%20%E2%80%9CMethylcobalamin%20serves%20as,%E2%80%9D" TargetMode="External" /><Relationship Type="http://schemas.openxmlformats.org/officeDocument/2006/relationships/hyperlink" Id="rId160" Target="https://www.reddit.com/r/vegan/comments/1ev14uk/psa_methylcobalamin_does_not_cover_all_necessary/#:~:text=%E2%80%A2%20Study%3A%20%E2%80%9CVitamin%20B12%20,cyanocobalamin%20in%20food%20fortification" TargetMode="External" /><Relationship Type="http://schemas.openxmlformats.org/officeDocument/2006/relationships/hyperlink" Id="rId29" Target="https://www.reddit.com/r/vegan/comments/1ev14uk/psa_methylcobalamin_does_not_cover_all_necessary/#:~:text=,affect%20the%20efficiency%20of%20absorption" TargetMode="External" /><Relationship Type="http://schemas.openxmlformats.org/officeDocument/2006/relationships/hyperlink" Id="rId159" Target="https://www.reddit.com/r/vegan/comments/1ev14uk/psa_methylcobalamin_does_not_cover_all_necessary/#:~:text=1.%20Cyanocobalamin%20%28most%20shelf,affordable%2C%20but%20least%20bioavailable" TargetMode="External" /><Relationship Type="http://schemas.openxmlformats.org/officeDocument/2006/relationships/hyperlink" Id="rId163" Target="https://www.reddit.com/r/vegan/comments/1ev14uk/psa_methylcobalamin_does_not_cover_all_necessary/#:~:text=3,in%20conjunction%20on%20the%20market" TargetMode="External" /><Relationship Type="http://schemas.openxmlformats.org/officeDocument/2006/relationships/hyperlink" Id="rId28" Target="https://www.reddit.com/r/vegan/comments/1ev14uk/psa_methylcobalamin_does_not_cover_all_necessary/#:~:text=For%20the%20body%20to%20fully,does%20not%20support%20mitochondrial%20functions" TargetMode="External" /><Relationship Type="http://schemas.openxmlformats.org/officeDocument/2006/relationships/hyperlink" Id="rId205" Target="https://www.reddit.com/r/vegan/comments/1ev14uk/psa_methylcobalamin_does_not_cover_all_necessary/#:~:text=Worldwide%20Problem,326" TargetMode="External" /><Relationship Type="http://schemas.openxmlformats.org/officeDocument/2006/relationships/hyperlink" Id="rId95" Target="https://www.reddit.com/r/vegan/comments/1ev14uk/psa_methylcobalamin_does_not_cover_all_necessary/#:~:text=reaction%20for%20methylation%20processes%20in,%E2%80%9D" TargetMode="External" /><Relationship Type="http://schemas.openxmlformats.org/officeDocument/2006/relationships/hyperlink" Id="rId233" Target="https://www.researchgate.net/publication/330486944_The_Revised_D-A-CH-Reference_Values_for_the_Intake_of_Vitamin_B12_Prevention_of_Deficiency_and_Beyond" TargetMode="External" /><Relationship Type="http://schemas.openxmlformats.org/officeDocument/2006/relationships/hyperlink" Id="rId189" Target="https://www.researchgate.net/publication/330486944_The_Revised_D-A-CH-Reference_Values_for_the_Intake_of_Vitamin_B12_Prevention_of_Deficiency_and_Beyond#:~:text=B12%20www,5%20%C2%B5g%20d%E2%81%BB%C2%B9%2C%20respectively" TargetMode="External" /><Relationship Type="http://schemas.openxmlformats.org/officeDocument/2006/relationships/hyperlink" Id="rId215" Target="https://www.researchgate.net/publication/354426514_A_Brief_Review_on_Vitamin_B12_Deficiency_Looking_at_Some_Case_Study_Reports_in_Adults" TargetMode="External" /><Relationship Type="http://schemas.openxmlformats.org/officeDocument/2006/relationships/hyperlink" Id="rId38" Target="https://www.researchgate.net/publication/354426514_A_Brief_Review_on_Vitamin_B12_Deficiency_Looking_at_Some_Case_Study_Reports_in_Adults#:~:text=,rates%20are%20observed%20amo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2025-10-26T20:17:48Z</dcterms:created>
  <dcterms:modified xsi:type="dcterms:W3CDTF">2025-10-26T20:17:48Z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