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Supplier Risk Radar</w:t>
      </w:r>
    </w:p>
    <w:p>
      <w:pPr>
        <w:pStyle w:val="Subtitle"/>
      </w:pPr>
      <w:r>
        <w:t>Especificación de producto y ejecución con Codex</w:t>
      </w:r>
    </w:p>
    <w:p>
      <w:r>
        <w:t>Este documento convierte el brief del equipo en una aplicación de demo construible: importa los Excel del reto, monitoriza RSS reales, evalúa la exposición de proveedores con JEV y muestra alertas explicables desde una URL pública en Railway. La experiencia móvil y el sonido dentro de la pestaña son requisitos de la primera versión.</w:t>
      </w:r>
    </w:p>
    <w:p>
      <w:r>
        <w:t>La propuesta es viable con inferencia por API y tres servicios en Railway. El paquete adjunto contiene instrucciones, contratos y referencias ejecutables. Codex debe construir la aplicación, probarla y desplegarla cuando disponga de credenciales. Este documento no acredita un despliegue ya realizado.</w:t>
      </w:r>
    </w:p>
    <w:p>
      <w:pPr>
        <w:pStyle w:val="Heading2"/>
      </w:pPr>
      <w:r>
        <w:t>Decisiones cerradas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632"/>
      </w:tblGrid>
      <w:tr>
        <w:trPr>
          <w:cantSplit/>
          <w:tblHeader/>
        </w:trPr>
        <w:tc>
          <w:tcPr>
            <w:tcW w:type="dxa" w:w="1728"/>
            <w:vAlign w:val="center"/>
            <w:shd w:fill="18344F"/>
            <w:tcMar>
              <w:top w:w="85" w:type="dxa"/>
              <w:bottom w:w="85" w:type="dxa"/>
              <w:left w:w="100" w:type="dxa"/>
              <w:right w:w="100" w:type="dxa"/>
            </w:tcMar>
          </w:tcPr>
          <w:p>
            <w:pPr>
              <w:spacing w:after="0" w:line="252" w:lineRule="auto"/>
            </w:pPr>
            <w:r>
              <w:rPr>
                <w:b/>
                <w:color w:val="FFFFFF"/>
                <w:sz w:val="19"/>
              </w:rPr>
              <w:t>Área</w:t>
            </w:r>
          </w:p>
        </w:tc>
        <w:tc>
          <w:tcPr>
            <w:tcW w:type="dxa" w:w="7632"/>
            <w:vAlign w:val="center"/>
            <w:shd w:fill="18344F"/>
            <w:tcMar>
              <w:top w:w="85" w:type="dxa"/>
              <w:bottom w:w="85" w:type="dxa"/>
              <w:left w:w="100" w:type="dxa"/>
              <w:right w:w="100" w:type="dxa"/>
            </w:tcMar>
          </w:tcPr>
          <w:p>
            <w:pPr>
              <w:spacing w:after="0" w:line="252" w:lineRule="auto"/>
            </w:pPr>
            <w:r>
              <w:rPr>
                <w:b/>
                <w:color w:val="FFFFFF"/>
                <w:sz w:val="19"/>
              </w:rPr>
              <w:t>Decisión de implementación</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Datos</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Cuatro Excel del reto y seis RSS activos. La cartera de Helixa es ficticia.</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Clasificación</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JEV por API oficial de TypeSafe. Preguntas estructuradas agrupadas en dos etapas.</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Prioridad</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Fórmula propia acotada de 0 a 100, con factores visibles y política versionada.</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Infraestructura</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React y FastAPI en web, worker persistente y PostgreSQL en Railway.</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Alertas</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Avisos visuales y tono en la pestaña tras Activar sonido. Sin envío externo.</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Mitigación</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Borradores editables para proveedor o alternativo; copiar o descargar.</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Diseño</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Español, blanco y lavanda, navy y púrpura; interfaz operativa responsive.</w:t>
            </w:r>
          </w:p>
        </w:tc>
      </w:tr>
    </w:tbl>
    <w:p>
      <w:pPr>
        <w:spacing w:after="0"/>
      </w:pPr>
    </w:p>
    <w:p>
      <w:pPr>
        <w:pStyle w:val="Heading2"/>
      </w:pPr>
      <w:r>
        <w:t>Cómo usar el paquete</w:t>
      </w:r>
    </w:p>
    <w:p>
      <w:r>
        <w:t>Descomprimir el ZIP en el repositorio y pegar 01_PROMPT_MAESTRO_CODEX.md en Codex. El agente debe leer docs, config, contracts y reference antes de implementar. Los requisitos del usuario prevalecen; config/risk_policy.json es la fuente numérica. Los Markdown contienen el detalle técnico y el Word facilita la revisión del equipo.</w:t>
      </w:r>
    </w:p>
    <w:p>
      <w:r>
        <w:t>Preparar TYPESAFE_API_KEY y acceso autorizado al proyecto Railway. Los secretos se configuran en backend. La revisión final utiliza prompts/03_AUDITORIA_Y_ENTREGA.md y los criterios A01 a A20.</w:t>
      </w:r>
    </w:p>
    <w:p>
      <w:r>
        <w:br w:type="page"/>
      </w:r>
    </w:p>
    <w:p>
      <w:pPr>
        <w:pStyle w:val="Heading1"/>
      </w:pPr>
      <w:r>
        <w:t>Datos del reto y contrato de salida</w:t>
      </w:r>
    </w:p>
    <w:p>
      <w:r>
        <w:t>El catálogo contiene 40 proveedores, 20 materiales y seis productos. Hay 14 proveedores single source, siete de ellos de criticidad High, y 10 materiales sin alternativo aprobado. Estas cifras describen dependencia; por sí solas no establecen la urgencia de una noticia.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160"/>
        <w:gridCol w:w="4320"/>
      </w:tblGrid>
      <w:tr>
        <w:trPr>
          <w:cantSplit/>
          <w:tblHeader/>
        </w:trPr>
        <w:tc>
          <w:tcPr>
            <w:tcW w:type="dxa" w:w="2880"/>
            <w:vAlign w:val="center"/>
            <w:shd w:fill="18344F"/>
            <w:tcMar>
              <w:top w:w="85" w:type="dxa"/>
              <w:bottom w:w="85" w:type="dxa"/>
              <w:left w:w="100" w:type="dxa"/>
              <w:right w:w="100" w:type="dxa"/>
            </w:tcMar>
          </w:tcPr>
          <w:p>
            <w:pPr>
              <w:spacing w:after="0" w:line="252" w:lineRule="auto"/>
            </w:pPr>
            <w:r>
              <w:rPr>
                <w:b/>
                <w:color w:val="FFFFFF"/>
                <w:sz w:val="19"/>
              </w:rPr>
              <w:t>Archivo del kit</w:t>
            </w:r>
          </w:p>
        </w:tc>
        <w:tc>
          <w:tcPr>
            <w:tcW w:type="dxa" w:w="2160"/>
            <w:vAlign w:val="center"/>
            <w:shd w:fill="18344F"/>
            <w:tcMar>
              <w:top w:w="85" w:type="dxa"/>
              <w:bottom w:w="85" w:type="dxa"/>
              <w:left w:w="100" w:type="dxa"/>
              <w:right w:w="100" w:type="dxa"/>
            </w:tcMar>
          </w:tcPr>
          <w:p>
            <w:pPr>
              <w:spacing w:after="0" w:line="252" w:lineRule="auto"/>
            </w:pPr>
            <w:r>
              <w:rPr>
                <w:b/>
                <w:color w:val="FFFFFF"/>
                <w:sz w:val="19"/>
              </w:rPr>
              <w:t>Hoja de noticias</w:t>
            </w:r>
          </w:p>
        </w:tc>
        <w:tc>
          <w:tcPr>
            <w:tcW w:type="dxa" w:w="4320"/>
            <w:vAlign w:val="center"/>
            <w:shd w:fill="18344F"/>
            <w:tcMar>
              <w:top w:w="85" w:type="dxa"/>
              <w:bottom w:w="85" w:type="dxa"/>
              <w:left w:w="100" w:type="dxa"/>
              <w:right w:w="100" w:type="dxa"/>
            </w:tcMar>
          </w:tcPr>
          <w:p>
            <w:pPr>
              <w:spacing w:after="0" w:line="252" w:lineRule="auto"/>
            </w:pPr>
            <w:r>
              <w:rPr>
                <w:b/>
                <w:color w:val="FFFFFF"/>
                <w:sz w:val="19"/>
              </w:rPr>
              <w:t>Uso</w:t>
            </w:r>
          </w:p>
        </w:tc>
      </w:tr>
      <w:tr>
        <w:trPr>
          <w:cantSplit/>
        </w:trPr>
        <w:tc>
          <w:tcPr>
            <w:tcW w:type="dxa" w:w="2880"/>
            <w:vAlign w:val="center"/>
            <w:shd w:fill="FFFFFF"/>
            <w:tcMar>
              <w:top w:w="85" w:type="dxa"/>
              <w:bottom w:w="85" w:type="dxa"/>
              <w:left w:w="100" w:type="dxa"/>
              <w:right w:w="100" w:type="dxa"/>
            </w:tcMar>
          </w:tcPr>
          <w:p>
            <w:pPr>
              <w:spacing w:after="0" w:line="252" w:lineRule="auto"/>
            </w:pPr>
            <w:r>
              <w:rPr>
                <w:b w:val="0"/>
                <w:color w:val="000000"/>
                <w:sz w:val="19"/>
              </w:rPr>
              <w:t>supplier_training.xlsx</w:t>
            </w:r>
          </w:p>
        </w:tc>
        <w:tc>
          <w:tcPr>
            <w:tcW w:type="dxa" w:w="2160"/>
            <w:vAlign w:val="center"/>
            <w:shd w:fill="FFFFFF"/>
            <w:tcMar>
              <w:top w:w="85" w:type="dxa"/>
              <w:bottom w:w="85" w:type="dxa"/>
              <w:left w:w="100" w:type="dxa"/>
              <w:right w:w="100" w:type="dxa"/>
            </w:tcMar>
          </w:tcPr>
          <w:p>
            <w:pPr>
              <w:spacing w:after="0" w:line="252" w:lineRule="auto"/>
            </w:pPr>
            <w:r>
              <w:rPr>
                <w:b w:val="0"/>
                <w:color w:val="000000"/>
                <w:sz w:val="19"/>
              </w:rPr>
              <w:t>News</w:t>
            </w:r>
          </w:p>
        </w:tc>
        <w:tc>
          <w:tcPr>
            <w:tcW w:type="dxa" w:w="4320"/>
            <w:vAlign w:val="center"/>
            <w:shd w:fill="FFFFFF"/>
            <w:tcMar>
              <w:top w:w="85" w:type="dxa"/>
              <w:bottom w:w="85" w:type="dxa"/>
              <w:left w:w="100" w:type="dxa"/>
              <w:right w:w="100" w:type="dxa"/>
            </w:tcMar>
          </w:tcPr>
          <w:p>
            <w:pPr>
              <w:spacing w:after="0" w:line="252" w:lineRule="auto"/>
            </w:pPr>
            <w:r>
              <w:rPr>
                <w:b w:val="0"/>
                <w:color w:val="000000"/>
                <w:sz w:val="19"/>
              </w:rPr>
              <w:t>30 noticias de desarrollo con etiquetas; además Suppliers y Materials.</w:t>
            </w:r>
          </w:p>
        </w:tc>
      </w:tr>
      <w:tr>
        <w:trPr>
          <w:cantSplit/>
        </w:trPr>
        <w:tc>
          <w:tcPr>
            <w:tcW w:type="dxa" w:w="2880"/>
            <w:vAlign w:val="center"/>
            <w:shd w:fill="F3F6F9"/>
            <w:tcMar>
              <w:top w:w="85" w:type="dxa"/>
              <w:bottom w:w="85" w:type="dxa"/>
              <w:left w:w="100" w:type="dxa"/>
              <w:right w:w="100" w:type="dxa"/>
            </w:tcMar>
          </w:tcPr>
          <w:p>
            <w:pPr>
              <w:spacing w:after="0" w:line="252" w:lineRule="auto"/>
            </w:pPr>
            <w:r>
              <w:rPr>
                <w:b w:val="0"/>
                <w:color w:val="000000"/>
                <w:sz w:val="19"/>
              </w:rPr>
              <w:t>supplier_validation.xlsx</w:t>
            </w:r>
          </w:p>
        </w:tc>
        <w:tc>
          <w:tcPr>
            <w:tcW w:type="dxa" w:w="2160"/>
            <w:vAlign w:val="center"/>
            <w:shd w:fill="F3F6F9"/>
            <w:tcMar>
              <w:top w:w="85" w:type="dxa"/>
              <w:bottom w:w="85" w:type="dxa"/>
              <w:left w:w="100" w:type="dxa"/>
              <w:right w:w="100" w:type="dxa"/>
            </w:tcMar>
          </w:tcPr>
          <w:p>
            <w:pPr>
              <w:spacing w:after="0" w:line="252" w:lineRule="auto"/>
            </w:pPr>
            <w:r>
              <w:rPr>
                <w:b w:val="0"/>
                <w:color w:val="000000"/>
                <w:sz w:val="19"/>
              </w:rPr>
              <w:t>News_Validation</w:t>
            </w:r>
          </w:p>
        </w:tc>
        <w:tc>
          <w:tcPr>
            <w:tcW w:type="dxa" w:w="4320"/>
            <w:vAlign w:val="center"/>
            <w:shd w:fill="F3F6F9"/>
            <w:tcMar>
              <w:top w:w="85" w:type="dxa"/>
              <w:bottom w:w="85" w:type="dxa"/>
              <w:left w:w="100" w:type="dxa"/>
              <w:right w:w="100" w:type="dxa"/>
            </w:tcMar>
          </w:tcPr>
          <w:p>
            <w:pPr>
              <w:spacing w:after="0" w:line="252" w:lineRule="auto"/>
            </w:pPr>
            <w:r>
              <w:rPr>
                <w:b w:val="0"/>
                <w:color w:val="000000"/>
                <w:sz w:val="19"/>
              </w:rPr>
              <w:t>10 noticias retenidas para evaluar una versión congelada.</w:t>
            </w:r>
          </w:p>
        </w:tc>
      </w:tr>
      <w:tr>
        <w:trPr>
          <w:cantSplit/>
        </w:trPr>
        <w:tc>
          <w:tcPr>
            <w:tcW w:type="dxa" w:w="2880"/>
            <w:vAlign w:val="center"/>
            <w:shd w:fill="FFFFFF"/>
            <w:tcMar>
              <w:top w:w="85" w:type="dxa"/>
              <w:bottom w:w="85" w:type="dxa"/>
              <w:left w:w="100" w:type="dxa"/>
              <w:right w:w="100" w:type="dxa"/>
            </w:tcMar>
          </w:tcPr>
          <w:p>
            <w:pPr>
              <w:spacing w:after="0" w:line="252" w:lineRule="auto"/>
            </w:pPr>
            <w:r>
              <w:rPr>
                <w:b w:val="0"/>
                <w:color w:val="000000"/>
                <w:sz w:val="19"/>
              </w:rPr>
              <w:t>supplier_test.xlsx</w:t>
            </w:r>
          </w:p>
        </w:tc>
        <w:tc>
          <w:tcPr>
            <w:tcW w:type="dxa" w:w="2160"/>
            <w:vAlign w:val="center"/>
            <w:shd w:fill="FFFFFF"/>
            <w:tcMar>
              <w:top w:w="85" w:type="dxa"/>
              <w:bottom w:w="85" w:type="dxa"/>
              <w:left w:w="100" w:type="dxa"/>
              <w:right w:w="100" w:type="dxa"/>
            </w:tcMar>
          </w:tcPr>
          <w:p>
            <w:pPr>
              <w:spacing w:after="0" w:line="252" w:lineRule="auto"/>
            </w:pPr>
            <w:r>
              <w:rPr>
                <w:b w:val="0"/>
                <w:color w:val="000000"/>
                <w:sz w:val="19"/>
              </w:rPr>
              <w:t>News_Test</w:t>
            </w:r>
          </w:p>
        </w:tc>
        <w:tc>
          <w:tcPr>
            <w:tcW w:type="dxa" w:w="4320"/>
            <w:vAlign w:val="center"/>
            <w:shd w:fill="FFFFFF"/>
            <w:tcMar>
              <w:top w:w="85" w:type="dxa"/>
              <w:bottom w:w="85" w:type="dxa"/>
              <w:left w:w="100" w:type="dxa"/>
              <w:right w:w="100" w:type="dxa"/>
            </w:tcMar>
          </w:tcPr>
          <w:p>
            <w:pPr>
              <w:spacing w:after="0" w:line="252" w:lineRule="auto"/>
            </w:pPr>
            <w:r>
              <w:rPr>
                <w:b w:val="0"/>
                <w:color w:val="000000"/>
                <w:sz w:val="19"/>
              </w:rPr>
              <w:t>20 noticias sin etiquetas para ejecución final.</w:t>
            </w:r>
          </w:p>
        </w:tc>
      </w:tr>
      <w:tr>
        <w:trPr>
          <w:cantSplit/>
        </w:trPr>
        <w:tc>
          <w:tcPr>
            <w:tcW w:type="dxa" w:w="2880"/>
            <w:vAlign w:val="center"/>
            <w:shd w:fill="F3F6F9"/>
            <w:tcMar>
              <w:top w:w="85" w:type="dxa"/>
              <w:bottom w:w="85" w:type="dxa"/>
              <w:left w:w="100" w:type="dxa"/>
              <w:right w:w="100" w:type="dxa"/>
            </w:tcMar>
          </w:tcPr>
          <w:p>
            <w:pPr>
              <w:spacing w:after="0" w:line="252" w:lineRule="auto"/>
            </w:pPr>
            <w:r>
              <w:rPr>
                <w:b w:val="0"/>
                <w:color w:val="000000"/>
                <w:sz w:val="19"/>
              </w:rPr>
              <w:t>supplier_liveday.xlsx</w:t>
            </w:r>
          </w:p>
        </w:tc>
        <w:tc>
          <w:tcPr>
            <w:tcW w:type="dxa" w:w="2160"/>
            <w:vAlign w:val="center"/>
            <w:shd w:fill="F3F6F9"/>
            <w:tcMar>
              <w:top w:w="85" w:type="dxa"/>
              <w:bottom w:w="85" w:type="dxa"/>
              <w:left w:w="100" w:type="dxa"/>
              <w:right w:w="100" w:type="dxa"/>
            </w:tcMar>
          </w:tcPr>
          <w:p>
            <w:pPr>
              <w:spacing w:after="0" w:line="252" w:lineRule="auto"/>
            </w:pPr>
            <w:r>
              <w:rPr>
                <w:b w:val="0"/>
                <w:color w:val="000000"/>
                <w:sz w:val="19"/>
              </w:rPr>
              <w:t>News_Feed</w:t>
            </w:r>
          </w:p>
        </w:tc>
        <w:tc>
          <w:tcPr>
            <w:tcW w:type="dxa" w:w="4320"/>
            <w:vAlign w:val="center"/>
            <w:shd w:fill="F3F6F9"/>
            <w:tcMar>
              <w:top w:w="85" w:type="dxa"/>
              <w:bottom w:w="85" w:type="dxa"/>
              <w:left w:w="100" w:type="dxa"/>
              <w:right w:w="100" w:type="dxa"/>
            </w:tcMar>
          </w:tcPr>
          <w:p>
            <w:pPr>
              <w:spacing w:after="0" w:line="252" w:lineRule="auto"/>
            </w:pPr>
            <w:r>
              <w:rPr>
                <w:b w:val="0"/>
                <w:color w:val="000000"/>
                <w:sz w:val="19"/>
              </w:rPr>
              <w:t>14 noticias del 6 de octubre de 2026 para el lote de demo.</w:t>
            </w:r>
          </w:p>
        </w:tc>
      </w:tr>
    </w:tbl>
    <w:p>
      <w:pPr>
        <w:spacing w:after="0"/>
      </w:pPr>
    </w:p>
    <w:p>
      <w:pPr>
        <w:pStyle w:val="Heading2"/>
      </w:pPr>
      <w:r>
        <w:t>Detalles que cambian la implementación</w:t>
      </w:r>
    </w:p>
    <w:p>
      <w:pPr>
        <w:pStyle w:val="ListBullet"/>
      </w:pPr>
      <w:r>
        <w:t>Materials representa a 30 de los 40 proveedores. Evaluar los 40 y mostrar Productos no mapeados para los diez restantes.</w:t>
      </w:r>
    </w:p>
    <w:p>
      <w:pPr>
        <w:pStyle w:val="ListBullet"/>
      </w:pPr>
      <w:r>
        <w:t>Seis registros de Logistics o Services no tienen inventario aplicable. Un nulo no significa cero días. S035 tampoco tiene lead time.</w:t>
      </w:r>
    </w:p>
    <w:p>
      <w:pPr>
        <w:pStyle w:val="ListBullet"/>
      </w:pPr>
      <w:r>
        <w:t>Share_of_Category_Spend_% mide gasto dentro de la categoría. No equivale a volumen suministrado ni a impacto total sobre producción.</w:t>
      </w:r>
    </w:p>
    <w:p>
      <w:pPr>
        <w:pStyle w:val="ListBullet"/>
      </w:pPr>
      <w:r>
        <w:t>El README de entrenamiento menciona News_Train, pero la hoja real es News. Detectar por esquema y conservar News_ID y orden de filas.</w:t>
      </w:r>
    </w:p>
    <w:p>
      <w:pPr>
        <w:pStyle w:val="Heading2"/>
      </w:pPr>
      <w:r>
        <w:t>Importación y evaluación</w:t>
      </w:r>
    </w:p>
    <w:p>
      <w:r>
        <w:t>Aceptar XLSX, con límite inicial de 10 MB y 5.000 filas. Validar columnas, IDs, tipos y referencias; devolver diagnósticos concretos. No ejecutar fórmulas. Los originales se conservan y la exportación se genera como copia. Leer solo entradas del manifiesto; el answer key queda excluido.</w:t>
      </w:r>
    </w:p>
    <w:p>
      <w:r>
        <w:t>Separar Is_Risk, Urgent, Affected_Supplier_IDs, Event_Type y Explanation de la inferencia. Guardarlas solo para evaluación. Ajustar preguntas con entrenamiento y medir validación retenida; test y LiveDay no eligen prompts ni umbrales.</w:t>
      </w:r>
    </w:p>
    <w:p>
      <w:pPr>
        <w:pStyle w:val="Heading2"/>
      </w:pPr>
      <w:r>
        <w:t>Salida exigida por el reto</w:t>
      </w:r>
    </w:p>
    <w:p>
      <w:r>
        <w:t>Una fila por noticia, con News_ID, Is_Risk, Urgent y Affected_Supplier_IDs. Flags Y o N; IDs únicos y ordenados, separados por punto y coma y espacio. Una noticia positiva puede conservar IDs con N y N. Un fallo sin resolver bloquea la exportación final y nunca se convierte silenciosamente en N.</w:t>
      </w:r>
    </w:p>
    <w:p>
      <w:r>
        <w:br w:type="page"/>
      </w:r>
    </w:p>
    <w:p>
      <w:pPr>
        <w:pStyle w:val="Heading1"/>
      </w:pPr>
      <w:r>
        <w:t>Arquitectura y persistencia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616"/>
        <w:gridCol w:w="2160"/>
      </w:tblGrid>
      <w:tr>
        <w:trPr>
          <w:cantSplit/>
          <w:tblHeader/>
        </w:trPr>
        <w:tc>
          <w:tcPr>
            <w:tcW w:type="dxa" w:w="1584"/>
            <w:vAlign w:val="center"/>
            <w:shd w:fill="18344F"/>
            <w:tcMar>
              <w:top w:w="85" w:type="dxa"/>
              <w:bottom w:w="85" w:type="dxa"/>
              <w:left w:w="100" w:type="dxa"/>
              <w:right w:w="100" w:type="dxa"/>
            </w:tcMar>
          </w:tcPr>
          <w:p>
            <w:pPr>
              <w:spacing w:after="0" w:line="252" w:lineRule="auto"/>
            </w:pPr>
            <w:r>
              <w:rPr>
                <w:b/>
                <w:color w:val="FFFFFF"/>
                <w:sz w:val="19"/>
              </w:rPr>
              <w:t>Servicio</w:t>
            </w:r>
          </w:p>
        </w:tc>
        <w:tc>
          <w:tcPr>
            <w:tcW w:type="dxa" w:w="5616"/>
            <w:vAlign w:val="center"/>
            <w:shd w:fill="18344F"/>
            <w:tcMar>
              <w:top w:w="85" w:type="dxa"/>
              <w:bottom w:w="85" w:type="dxa"/>
              <w:left w:w="100" w:type="dxa"/>
              <w:right w:w="100" w:type="dxa"/>
            </w:tcMar>
          </w:tcPr>
          <w:p>
            <w:pPr>
              <w:spacing w:after="0" w:line="252" w:lineRule="auto"/>
            </w:pPr>
            <w:r>
              <w:rPr>
                <w:b/>
                <w:color w:val="FFFFFF"/>
                <w:sz w:val="19"/>
              </w:rPr>
              <w:t>Responsabilidad</w:t>
            </w:r>
          </w:p>
        </w:tc>
        <w:tc>
          <w:tcPr>
            <w:tcW w:type="dxa" w:w="2160"/>
            <w:vAlign w:val="center"/>
            <w:shd w:fill="18344F"/>
            <w:tcMar>
              <w:top w:w="85" w:type="dxa"/>
              <w:bottom w:w="85" w:type="dxa"/>
              <w:left w:w="100" w:type="dxa"/>
              <w:right w:w="100" w:type="dxa"/>
            </w:tcMar>
          </w:tcPr>
          <w:p>
            <w:pPr>
              <w:spacing w:after="0" w:line="252" w:lineRule="auto"/>
            </w:pPr>
            <w:r>
              <w:rPr>
                <w:b/>
                <w:color w:val="FFFFFF"/>
                <w:sz w:val="19"/>
              </w:rPr>
              <w:t>Datos persistentes</w:t>
            </w:r>
          </w:p>
        </w:tc>
      </w:tr>
      <w:tr>
        <w:trPr>
          <w:cantSplit/>
        </w:trPr>
        <w:tc>
          <w:tcPr>
            <w:tcW w:type="dxa" w:w="1584"/>
            <w:vAlign w:val="center"/>
            <w:shd w:fill="FFFFFF"/>
            <w:tcMar>
              <w:top w:w="85" w:type="dxa"/>
              <w:bottom w:w="85" w:type="dxa"/>
              <w:left w:w="100" w:type="dxa"/>
              <w:right w:w="100" w:type="dxa"/>
            </w:tcMar>
          </w:tcPr>
          <w:p>
            <w:pPr>
              <w:spacing w:after="0" w:line="252" w:lineRule="auto"/>
            </w:pPr>
            <w:r>
              <w:rPr>
                <w:b w:val="0"/>
                <w:color w:val="000000"/>
                <w:sz w:val="19"/>
              </w:rPr>
              <w:t>Web</w:t>
            </w:r>
          </w:p>
        </w:tc>
        <w:tc>
          <w:tcPr>
            <w:tcW w:type="dxa" w:w="5616"/>
            <w:vAlign w:val="center"/>
            <w:shd w:fill="FFFFFF"/>
            <w:tcMar>
              <w:top w:w="85" w:type="dxa"/>
              <w:bottom w:w="85" w:type="dxa"/>
              <w:left w:w="100" w:type="dxa"/>
              <w:right w:w="100" w:type="dxa"/>
            </w:tcMar>
          </w:tcPr>
          <w:p>
            <w:pPr>
              <w:spacing w:after="0" w:line="252" w:lineRule="auto"/>
            </w:pPr>
            <w:r>
              <w:rPr>
                <w:b w:val="0"/>
                <w:color w:val="000000"/>
                <w:sz w:val="19"/>
              </w:rPr>
              <w:t>React y FastAPI bajo un origen. Consultas, cargas, sesiones y exportaciones.</w:t>
            </w:r>
          </w:p>
        </w:tc>
        <w:tc>
          <w:tcPr>
            <w:tcW w:type="dxa" w:w="2160"/>
            <w:vAlign w:val="center"/>
            <w:shd w:fill="FFFFFF"/>
            <w:tcMar>
              <w:top w:w="85" w:type="dxa"/>
              <w:bottom w:w="85" w:type="dxa"/>
              <w:left w:w="100" w:type="dxa"/>
              <w:right w:w="100" w:type="dxa"/>
            </w:tcMar>
          </w:tcPr>
          <w:p>
            <w:pPr>
              <w:spacing w:after="0" w:line="252" w:lineRule="auto"/>
            </w:pPr>
            <w:r>
              <w:rPr>
                <w:b w:val="0"/>
                <w:color w:val="000000"/>
                <w:sz w:val="19"/>
              </w:rPr>
              <w:t>PostgreSQL</w:t>
            </w:r>
          </w:p>
        </w:tc>
      </w:tr>
      <w:tr>
        <w:trPr>
          <w:cantSplit/>
        </w:trPr>
        <w:tc>
          <w:tcPr>
            <w:tcW w:type="dxa" w:w="1584"/>
            <w:vAlign w:val="center"/>
            <w:shd w:fill="F3F6F9"/>
            <w:tcMar>
              <w:top w:w="85" w:type="dxa"/>
              <w:bottom w:w="85" w:type="dxa"/>
              <w:left w:w="100" w:type="dxa"/>
              <w:right w:w="100" w:type="dxa"/>
            </w:tcMar>
          </w:tcPr>
          <w:p>
            <w:pPr>
              <w:spacing w:after="0" w:line="252" w:lineRule="auto"/>
            </w:pPr>
            <w:r>
              <w:rPr>
                <w:b w:val="0"/>
                <w:color w:val="000000"/>
                <w:sz w:val="19"/>
              </w:rPr>
              <w:t>Worker</w:t>
            </w:r>
          </w:p>
        </w:tc>
        <w:tc>
          <w:tcPr>
            <w:tcW w:type="dxa" w:w="5616"/>
            <w:vAlign w:val="center"/>
            <w:shd w:fill="F3F6F9"/>
            <w:tcMar>
              <w:top w:w="85" w:type="dxa"/>
              <w:bottom w:w="85" w:type="dxa"/>
              <w:left w:w="100" w:type="dxa"/>
              <w:right w:w="100" w:type="dxa"/>
            </w:tcMar>
          </w:tcPr>
          <w:p>
            <w:pPr>
              <w:spacing w:after="0" w:line="252" w:lineRule="auto"/>
            </w:pPr>
            <w:r>
              <w:rPr>
                <w:b w:val="0"/>
                <w:color w:val="000000"/>
                <w:sz w:val="19"/>
              </w:rPr>
              <w:t>Sondeo RSS, cola, llamadas JEV, score e incidentes. Misma imagen que web.</w:t>
            </w:r>
          </w:p>
        </w:tc>
        <w:tc>
          <w:tcPr>
            <w:tcW w:type="dxa" w:w="2160"/>
            <w:vAlign w:val="center"/>
            <w:shd w:fill="F3F6F9"/>
            <w:tcMar>
              <w:top w:w="85" w:type="dxa"/>
              <w:bottom w:w="85" w:type="dxa"/>
              <w:left w:w="100" w:type="dxa"/>
              <w:right w:w="100" w:type="dxa"/>
            </w:tcMar>
          </w:tcPr>
          <w:p>
            <w:pPr>
              <w:spacing w:after="0" w:line="252" w:lineRule="auto"/>
            </w:pPr>
            <w:r>
              <w:rPr>
                <w:b w:val="0"/>
                <w:color w:val="000000"/>
                <w:sz w:val="19"/>
              </w:rPr>
              <w:t>PostgreSQL</w:t>
            </w:r>
          </w:p>
        </w:tc>
      </w:tr>
      <w:tr>
        <w:trPr>
          <w:cantSplit/>
        </w:trPr>
        <w:tc>
          <w:tcPr>
            <w:tcW w:type="dxa" w:w="1584"/>
            <w:vAlign w:val="center"/>
            <w:shd w:fill="FFFFFF"/>
            <w:tcMar>
              <w:top w:w="85" w:type="dxa"/>
              <w:bottom w:w="85" w:type="dxa"/>
              <w:left w:w="100" w:type="dxa"/>
              <w:right w:w="100" w:type="dxa"/>
            </w:tcMar>
          </w:tcPr>
          <w:p>
            <w:pPr>
              <w:spacing w:after="0" w:line="252" w:lineRule="auto"/>
            </w:pPr>
            <w:r>
              <w:rPr>
                <w:b w:val="0"/>
                <w:color w:val="000000"/>
                <w:sz w:val="19"/>
              </w:rPr>
              <w:t>PostgreSQL</w:t>
            </w:r>
          </w:p>
        </w:tc>
        <w:tc>
          <w:tcPr>
            <w:tcW w:type="dxa" w:w="5616"/>
            <w:vAlign w:val="center"/>
            <w:shd w:fill="FFFFFF"/>
            <w:tcMar>
              <w:top w:w="85" w:type="dxa"/>
              <w:bottom w:w="85" w:type="dxa"/>
              <w:left w:w="100" w:type="dxa"/>
              <w:right w:w="100" w:type="dxa"/>
            </w:tcMar>
          </w:tcPr>
          <w:p>
            <w:pPr>
              <w:spacing w:after="0" w:line="252" w:lineRule="auto"/>
            </w:pPr>
            <w:r>
              <w:rPr>
                <w:b w:val="0"/>
                <w:color w:val="000000"/>
                <w:sz w:val="19"/>
              </w:rPr>
              <w:t>Catálogo, versiones, trabajos, incidentes, alertas, borradores y evaluación.</w:t>
            </w:r>
          </w:p>
        </w:tc>
        <w:tc>
          <w:tcPr>
            <w:tcW w:type="dxa" w:w="2160"/>
            <w:vAlign w:val="center"/>
            <w:shd w:fill="FFFFFF"/>
            <w:tcMar>
              <w:top w:w="85" w:type="dxa"/>
              <w:bottom w:w="85" w:type="dxa"/>
              <w:left w:w="100" w:type="dxa"/>
              <w:right w:w="100" w:type="dxa"/>
            </w:tcMar>
          </w:tcPr>
          <w:p>
            <w:pPr>
              <w:spacing w:after="0" w:line="252" w:lineRule="auto"/>
            </w:pPr>
            <w:r>
              <w:rPr>
                <w:b w:val="0"/>
                <w:color w:val="000000"/>
                <w:sz w:val="19"/>
              </w:rPr>
              <w:t>Volumen de la base</w:t>
            </w:r>
          </w:p>
        </w:tc>
      </w:tr>
      <w:tr>
        <w:trPr>
          <w:cantSplit/>
        </w:trPr>
        <w:tc>
          <w:tcPr>
            <w:tcW w:type="dxa" w:w="1584"/>
            <w:vAlign w:val="center"/>
            <w:shd w:fill="F3F6F9"/>
            <w:tcMar>
              <w:top w:w="85" w:type="dxa"/>
              <w:bottom w:w="85" w:type="dxa"/>
              <w:left w:w="100" w:type="dxa"/>
              <w:right w:w="100" w:type="dxa"/>
            </w:tcMar>
          </w:tcPr>
          <w:p>
            <w:pPr>
              <w:spacing w:after="0" w:line="252" w:lineRule="auto"/>
            </w:pPr>
            <w:r>
              <w:rPr>
                <w:b w:val="0"/>
                <w:color w:val="000000"/>
                <w:sz w:val="19"/>
              </w:rPr>
              <w:t>JEV externo</w:t>
            </w:r>
          </w:p>
        </w:tc>
        <w:tc>
          <w:tcPr>
            <w:tcW w:type="dxa" w:w="5616"/>
            <w:vAlign w:val="center"/>
            <w:shd w:fill="F3F6F9"/>
            <w:tcMar>
              <w:top w:w="85" w:type="dxa"/>
              <w:bottom w:w="85" w:type="dxa"/>
              <w:left w:w="100" w:type="dxa"/>
              <w:right w:w="100" w:type="dxa"/>
            </w:tcMar>
          </w:tcPr>
          <w:p>
            <w:pPr>
              <w:spacing w:after="0" w:line="252" w:lineRule="auto"/>
            </w:pPr>
            <w:r>
              <w:rPr>
                <w:b w:val="0"/>
                <w:color w:val="000000"/>
                <w:sz w:val="19"/>
              </w:rPr>
              <w:t>Decisiones tipadas; no necesita pesos ni GPU en Railway.</w:t>
            </w:r>
          </w:p>
        </w:tc>
        <w:tc>
          <w:tcPr>
            <w:tcW w:type="dxa" w:w="2160"/>
            <w:vAlign w:val="center"/>
            <w:shd w:fill="F3F6F9"/>
            <w:tcMar>
              <w:top w:w="85" w:type="dxa"/>
              <w:bottom w:w="85" w:type="dxa"/>
              <w:left w:w="100" w:type="dxa"/>
              <w:right w:w="100" w:type="dxa"/>
            </w:tcMar>
          </w:tcPr>
          <w:p>
            <w:pPr>
              <w:spacing w:after="0" w:line="252" w:lineRule="auto"/>
            </w:pPr>
            <w:r>
              <w:rPr>
                <w:b w:val="0"/>
                <w:color w:val="000000"/>
                <w:sz w:val="19"/>
              </w:rPr>
              <w:t>Respuesta versionada en backend</w:t>
            </w:r>
          </w:p>
        </w:tc>
      </w:tr>
    </w:tbl>
    <w:p>
      <w:pPr>
        <w:spacing w:after="0"/>
      </w:pPr>
    </w:p>
    <w:p>
      <w:pPr>
        <w:pStyle w:val="Heading2"/>
      </w:pPr>
      <w:r>
        <w:t>Flujo de procesamiento</w:t>
      </w:r>
    </w:p>
    <w:p>
      <w:r>
        <w:t>Cada importación crea un lote y encola trabajos. El worker reclama un trabajo mediante transacción, analiza el artículo, valida la respuesta, calcula prioridad y actualiza eventos. La web consulta progreso cada tres segundos mientras está visible y al recuperar foco. La carga devuelve un ID inmediatamente; no mantiene una petición abierta durante el lote.</w:t>
      </w:r>
    </w:p>
    <w:p>
      <w:r>
        <w:t>La cola inicial usa PostgreSQL con FOR UPDATE SKIP LOCKED, lease, heartbeat e intentos. Recupera leases vencidas después de un reinicio. Un límite de cuatro llamadas simultáneas a JEV y la prioridad del lote manual evitan que RSS retrase la demo. Un identificador idempotente impide repetir análisis y alertas.</w:t>
      </w:r>
    </w:p>
    <w:p>
      <w:pPr>
        <w:pStyle w:val="Heading2"/>
      </w:pPr>
      <w:r>
        <w:t>Contextos y tiempo</w:t>
      </w:r>
    </w:p>
    <w:p>
      <w:r>
        <w:t>Ejercicio usa fecha lógica del lote; Noticias reales usa hora actual. RSS muestra Cartera simulada y Exposición potencial cuando asocia geográficamente una noticia a un proveedor ficticio. No presenta esa asociación como una instalación real confirmada. RSS nunca modifica las respuestas exportadas del ejercicio.</w:t>
      </w:r>
    </w:p>
    <w:p>
      <w:r>
        <w:t>Agrupar con cautela las noticias del mismo incidente y proveedor. El ranking toma el máximo de incidentes activos, sin sumar titulares duplicados. Una recuperación posterior cierra solo el incidente compatible. Una noticia antigua recibida tarde no lo reabre. Tras siete días sin evidencia, mostrar Requiere actualización; antigüedad no significa resolución.</w:t>
      </w:r>
    </w:p>
    <w:p>
      <w:pPr>
        <w:pStyle w:val="Heading2"/>
      </w:pPr>
      <w:r>
        <w:t>API y modelo interno</w:t>
      </w:r>
    </w:p>
    <w:p>
      <w:r>
        <w:t>Entidades principales: Supplier, Material, Source, ImportBatch, ArticleVersion, Analysis, SupplierAssessment, Incident, Alert, Draft y Job. Guardar versiones de modelo, preguntas y política, fechas de fuente/análisis y hashes. Las etiquetas de evaluación tienen acceso separado.</w:t>
      </w:r>
    </w:p>
    <w:p>
      <w:r>
        <w:t>Rutas clave: /api/imports, /api/batches/{id}/analyze, /api/jobs/{id}, /api/suppliers, /api/articles, /api/alerts, /api/sources/sync y /api/drafts. La especificación Markdown define métodos, errores y permisos. /healthz indica proceso vivo; /readyz comprueba base de datos y esquema.</w:t>
      </w:r>
    </w:p>
    <w:p>
      <w:r>
        <w:br w:type="page"/>
      </w:r>
    </w:p>
    <w:p>
      <w:pPr>
        <w:pStyle w:val="Heading1"/>
      </w:pPr>
      <w:r>
        <w:t>Integración de JEV</w:t>
      </w:r>
    </w:p>
    <w:p>
      <w:r>
        <w:t>JEV es un modelo de decisiones de TypeSafe. La página jevai.net aportada se declara comunitaria y no afiliada. La implementación utiliza la API primaria, no su ejemplo /v1/decide. Referencias S1 a S9 y S21 en docs/08_FUENTES_Y_VERIFICACION.md.</w:t>
      </w:r>
    </w:p>
    <w:p>
      <w:r>
        <w:t>Contrato elegido: POST https://api.typesafe.ai/v1/systemone, autorización Bearer y JSON con model, state y questions. Se fija jev-1.13.0, versión a la que apunta el alias estable consultado. Jev 1.14 figura como preview. La disponibilidad y latencia se comprueban con la cuenta antes de la demo.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032"/>
      </w:tblGrid>
      <w:tr>
        <w:trPr>
          <w:cantSplit/>
          <w:tblHeader/>
        </w:trPr>
        <w:tc>
          <w:tcPr>
            <w:tcW w:type="dxa" w:w="1440"/>
            <w:vAlign w:val="center"/>
            <w:shd w:fill="18344F"/>
            <w:tcMar>
              <w:top w:w="85" w:type="dxa"/>
              <w:bottom w:w="85" w:type="dxa"/>
              <w:left w:w="100" w:type="dxa"/>
              <w:right w:w="100" w:type="dxa"/>
            </w:tcMar>
          </w:tcPr>
          <w:p>
            <w:pPr>
              <w:spacing w:after="0" w:line="252" w:lineRule="auto"/>
            </w:pPr>
            <w:r>
              <w:rPr>
                <w:b/>
                <w:color w:val="FFFFFF"/>
                <w:sz w:val="19"/>
              </w:rPr>
              <w:t>Primitiva</w:t>
            </w:r>
          </w:p>
        </w:tc>
        <w:tc>
          <w:tcPr>
            <w:tcW w:type="dxa" w:w="3888"/>
            <w:vAlign w:val="center"/>
            <w:shd w:fill="18344F"/>
            <w:tcMar>
              <w:top w:w="85" w:type="dxa"/>
              <w:bottom w:w="85" w:type="dxa"/>
              <w:left w:w="100" w:type="dxa"/>
              <w:right w:w="100" w:type="dxa"/>
            </w:tcMar>
          </w:tcPr>
          <w:p>
            <w:pPr>
              <w:spacing w:after="0" w:line="252" w:lineRule="auto"/>
            </w:pPr>
            <w:r>
              <w:rPr>
                <w:b/>
                <w:color w:val="FFFFFF"/>
                <w:sz w:val="19"/>
              </w:rPr>
              <w:t>Uso</w:t>
            </w:r>
          </w:p>
        </w:tc>
        <w:tc>
          <w:tcPr>
            <w:tcW w:type="dxa" w:w="4032"/>
            <w:vAlign w:val="center"/>
            <w:shd w:fill="18344F"/>
            <w:tcMar>
              <w:top w:w="85" w:type="dxa"/>
              <w:bottom w:w="85" w:type="dxa"/>
              <w:left w:w="100" w:type="dxa"/>
              <w:right w:w="100" w:type="dxa"/>
            </w:tcMar>
          </w:tcPr>
          <w:p>
            <w:pPr>
              <w:spacing w:after="0" w:line="252" w:lineRule="auto"/>
            </w:pPr>
            <w:r>
              <w:rPr>
                <w:b/>
                <w:color w:val="FFFFFF"/>
                <w:sz w:val="19"/>
              </w:rPr>
              <w:t>Tratamiento</w:t>
            </w:r>
          </w:p>
        </w:tc>
      </w:tr>
      <w:tr>
        <w:trPr>
          <w:cantSplit/>
        </w:trPr>
        <w:tc>
          <w:tcPr>
            <w:tcW w:type="dxa" w:w="1440"/>
            <w:vAlign w:val="center"/>
            <w:shd w:fill="FFFFFF"/>
            <w:tcMar>
              <w:top w:w="85" w:type="dxa"/>
              <w:bottom w:w="85" w:type="dxa"/>
              <w:left w:w="100" w:type="dxa"/>
              <w:right w:w="100" w:type="dxa"/>
            </w:tcMar>
          </w:tcPr>
          <w:p>
            <w:pPr>
              <w:spacing w:after="0" w:line="252" w:lineRule="auto"/>
            </w:pPr>
            <w:r>
              <w:rPr>
                <w:b w:val="0"/>
                <w:color w:val="000000"/>
                <w:sz w:val="19"/>
              </w:rPr>
              <w:t>Noul</w:t>
            </w:r>
          </w:p>
        </w:tc>
        <w:tc>
          <w:tcPr>
            <w:tcW w:type="dxa" w:w="3888"/>
            <w:vAlign w:val="center"/>
            <w:shd w:fill="FFFFFF"/>
            <w:tcMar>
              <w:top w:w="85" w:type="dxa"/>
              <w:bottom w:w="85" w:type="dxa"/>
              <w:left w:w="100" w:type="dxa"/>
              <w:right w:w="100" w:type="dxa"/>
            </w:tcMar>
          </w:tcPr>
          <w:p>
            <w:pPr>
              <w:spacing w:after="0" w:line="252" w:lineRule="auto"/>
            </w:pPr>
            <w:r>
              <w:rPr>
                <w:b w:val="0"/>
                <w:color w:val="000000"/>
                <w:sz w:val="19"/>
              </w:rPr>
              <w:t>Vínculo, riesgo y urgencia por proveedor.</w:t>
            </w:r>
          </w:p>
        </w:tc>
        <w:tc>
          <w:tcPr>
            <w:tcW w:type="dxa" w:w="4032"/>
            <w:vAlign w:val="center"/>
            <w:shd w:fill="FFFFFF"/>
            <w:tcMar>
              <w:top w:w="85" w:type="dxa"/>
              <w:bottom w:w="85" w:type="dxa"/>
              <w:left w:w="100" w:type="dxa"/>
              <w:right w:w="100" w:type="dxa"/>
            </w:tcMar>
          </w:tcPr>
          <w:p>
            <w:pPr>
              <w:spacing w:after="0" w:line="252" w:lineRule="auto"/>
            </w:pPr>
            <w:r>
              <w:rPr>
                <w:b w:val="0"/>
                <w:color w:val="000000"/>
                <w:sz w:val="19"/>
              </w:rPr>
              <w:t>Probabilidad 0–1; aplicar umbrales explícitos.</w:t>
            </w:r>
          </w:p>
        </w:tc>
      </w:tr>
      <w:tr>
        <w:trPr>
          <w:cantSplit/>
        </w:trPr>
        <w:tc>
          <w:tcPr>
            <w:tcW w:type="dxa" w:w="1440"/>
            <w:vAlign w:val="center"/>
            <w:shd w:fill="F3F6F9"/>
            <w:tcMar>
              <w:top w:w="85" w:type="dxa"/>
              <w:bottom w:w="85" w:type="dxa"/>
              <w:left w:w="100" w:type="dxa"/>
              <w:right w:w="100" w:type="dxa"/>
            </w:tcMar>
          </w:tcPr>
          <w:p>
            <w:pPr>
              <w:spacing w:after="0" w:line="252" w:lineRule="auto"/>
            </w:pPr>
            <w:r>
              <w:rPr>
                <w:b w:val="0"/>
                <w:color w:val="000000"/>
                <w:sz w:val="19"/>
              </w:rPr>
              <w:t>Choice</w:t>
            </w:r>
          </w:p>
        </w:tc>
        <w:tc>
          <w:tcPr>
            <w:tcW w:type="dxa" w:w="3888"/>
            <w:vAlign w:val="center"/>
            <w:shd w:fill="F3F6F9"/>
            <w:tcMar>
              <w:top w:w="85" w:type="dxa"/>
              <w:bottom w:w="85" w:type="dxa"/>
              <w:left w:w="100" w:type="dxa"/>
              <w:right w:w="100" w:type="dxa"/>
            </w:tcMar>
          </w:tcPr>
          <w:p>
            <w:pPr>
              <w:spacing w:after="0" w:line="252" w:lineRule="auto"/>
            </w:pPr>
            <w:r>
              <w:rPr>
                <w:b w:val="0"/>
                <w:color w:val="000000"/>
                <w:sz w:val="19"/>
              </w:rPr>
              <w:t>Tipo de evento, estado, evidencia y duración.</w:t>
            </w:r>
          </w:p>
        </w:tc>
        <w:tc>
          <w:tcPr>
            <w:tcW w:type="dxa" w:w="4032"/>
            <w:vAlign w:val="center"/>
            <w:shd w:fill="F3F6F9"/>
            <w:tcMar>
              <w:top w:w="85" w:type="dxa"/>
              <w:bottom w:w="85" w:type="dxa"/>
              <w:left w:w="100" w:type="dxa"/>
              <w:right w:w="100" w:type="dxa"/>
            </w:tcMar>
          </w:tcPr>
          <w:p>
            <w:pPr>
              <w:spacing w:after="0" w:line="252" w:lineRule="auto"/>
            </w:pPr>
            <w:r>
              <w:rPr>
                <w:b w:val="0"/>
                <w:color w:val="000000"/>
                <w:sz w:val="19"/>
              </w:rPr>
              <w:t>Selecciona una opción; no es multi-selección.</w:t>
            </w:r>
          </w:p>
        </w:tc>
      </w:tr>
      <w:tr>
        <w:trPr>
          <w:cantSplit/>
        </w:trPr>
        <w:tc>
          <w:tcPr>
            <w:tcW w:type="dxa" w:w="1440"/>
            <w:vAlign w:val="center"/>
            <w:shd w:fill="FFFFFF"/>
            <w:tcMar>
              <w:top w:w="85" w:type="dxa"/>
              <w:bottom w:w="85" w:type="dxa"/>
              <w:left w:w="100" w:type="dxa"/>
              <w:right w:w="100" w:type="dxa"/>
            </w:tcMar>
          </w:tcPr>
          <w:p>
            <w:pPr>
              <w:spacing w:after="0" w:line="252" w:lineRule="auto"/>
            </w:pPr>
            <w:r>
              <w:rPr>
                <w:b w:val="0"/>
                <w:color w:val="000000"/>
                <w:sz w:val="19"/>
              </w:rPr>
              <w:t>Score</w:t>
            </w:r>
          </w:p>
        </w:tc>
        <w:tc>
          <w:tcPr>
            <w:tcW w:type="dxa" w:w="3888"/>
            <w:vAlign w:val="center"/>
            <w:shd w:fill="FFFFFF"/>
            <w:tcMar>
              <w:top w:w="85" w:type="dxa"/>
              <w:bottom w:w="85" w:type="dxa"/>
              <w:left w:w="100" w:type="dxa"/>
              <w:right w:w="100" w:type="dxa"/>
            </w:tcMar>
          </w:tcPr>
          <w:p>
            <w:pPr>
              <w:spacing w:after="0" w:line="252" w:lineRule="auto"/>
            </w:pPr>
            <w:r>
              <w:rPr>
                <w:b w:val="0"/>
                <w:color w:val="000000"/>
                <w:sz w:val="19"/>
              </w:rPr>
              <w:t>Severidad mediante diez niveles.</w:t>
            </w:r>
          </w:p>
        </w:tc>
        <w:tc>
          <w:tcPr>
            <w:tcW w:type="dxa" w:w="4032"/>
            <w:vAlign w:val="center"/>
            <w:shd w:fill="FFFFFF"/>
            <w:tcMar>
              <w:top w:w="85" w:type="dxa"/>
              <w:bottom w:w="85" w:type="dxa"/>
              <w:left w:w="100" w:type="dxa"/>
              <w:right w:w="100" w:type="dxa"/>
            </w:tcMar>
          </w:tcPr>
          <w:p>
            <w:pPr>
              <w:spacing w:after="0" w:line="252" w:lineRule="auto"/>
            </w:pPr>
            <w:r>
              <w:rPr>
                <w:b w:val="0"/>
                <w:color w:val="000000"/>
                <w:sz w:val="19"/>
              </w:rPr>
              <w:t>Índices 0–9; convertir a 1–10 sumando uno.</w:t>
            </w:r>
          </w:p>
        </w:tc>
      </w:tr>
    </w:tbl>
    <w:p>
      <w:pPr>
        <w:spacing w:after="0"/>
      </w:pPr>
    </w:p>
    <w:p>
      <w:pPr>
        <w:pStyle w:val="Heading2"/>
      </w:pPr>
      <w:r>
        <w:t>Dos etapas con preguntas agrupadas</w:t>
      </w:r>
    </w:p>
    <w:p>
      <w:r>
        <w:t>Etapa A: enviar titular, resumen, fecha, idioma y catálogo compacto. Formular un Noul por cada uno de los 40 proveedores, más tipo y estado de evento. La identidad puede ser directa o exposición operativa sustentada. No descartar eventos regionales con un filtro previo de palabras clave.</w:t>
      </w:r>
    </w:p>
    <w:p>
      <w:r>
        <w:t>Etapa B: para candidatos aceptados y ambiguos que necesiten revisión, preguntar riesgo, urgencia, severidad, estado, evidencia y duración. Enviar las preguntas juntas. Los IDs de pregunta no son instrucciones para el modelo: cada pregunta nombra expresamente al proveedor que evalúa.</w:t>
      </w:r>
    </w:p>
    <w:p>
      <w:r>
        <w:t>El programa extrae fragmentos exactos y posibles duraciones del texto; JEV elige sus códigos o unknown. Mantener offsets y el texto original. Indefinido no se convierte en días. Una ubicación inferida sin evidencia suficiente queda visible como tal y bloquea sonido automático.</w:t>
      </w:r>
    </w:p>
    <w:p>
      <w:pPr>
        <w:pStyle w:val="Heading2"/>
      </w:pPr>
      <w:r>
        <w:t>Validación y fallos</w:t>
      </w:r>
    </w:p>
    <w:p>
      <w:r>
        <w:t>Verificar respuesta por pregunta, tipos, rangos y opciones antes de publicar resultados. Reintentar 429, 529 y fallos transitorios con backoff, jitter y Retry-After. Los 401 y errores de contrato requieren diagnóstico. Timeout inicial de 15 segundos, dos reintentos como máximo y presupuesto de 60 segundos por artículo.</w:t>
      </w:r>
    </w:p>
    <w:p>
      <w:r>
        <w:t>Conservar modelo real, confidence, probabilidades, uso y duración. Sin clave: Motor sin configurar. Los fixtures siempre se identifican. La explicación se genera por plantilla y el adaptador LLM u Ollama remoto es opcional; nunca cambia decisiones o scores.</w:t>
      </w:r>
    </w:p>
    <w:p>
      <w:r>
        <w:br w:type="page"/>
      </w:r>
    </w:p>
    <w:p>
      <w:pPr>
        <w:pStyle w:val="Heading1"/>
      </w:pPr>
      <w:r>
        <w:t>Prioridad y reglas de decisión</w:t>
      </w:r>
    </w:p>
    <w:p>
      <w:r>
        <w:t>La prioridad ordena la atención operativa y no representa probabilidad de quiebra o desabastecimiento. La política 1.0.0 es inicial y no está calibrada estadísticamente. Se calcula por evento y proveedor, con confianza separada.</w:t>
      </w:r>
    </w:p>
    <w:p>
      <w:r>
        <w:t>E = suma de pesos × factores disponibles / suma de sus pesos</w:t>
      </w:r>
    </w:p>
    <w:p>
      <w:r>
        <w:t>P = redondeo a un decimal de 100 × (severidad / 10) × (0,50 + 0,50 × 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864"/>
        <w:gridCol w:w="6120"/>
      </w:tblGrid>
      <w:tr>
        <w:trPr>
          <w:cantSplit/>
          <w:tblHeader/>
        </w:trPr>
        <w:tc>
          <w:tcPr>
            <w:tcW w:type="dxa" w:w="2376"/>
            <w:vAlign w:val="center"/>
            <w:shd w:fill="18344F"/>
            <w:tcMar>
              <w:top w:w="85" w:type="dxa"/>
              <w:bottom w:w="85" w:type="dxa"/>
              <w:left w:w="100" w:type="dxa"/>
              <w:right w:w="100" w:type="dxa"/>
            </w:tcMar>
          </w:tcPr>
          <w:p>
            <w:pPr>
              <w:spacing w:after="0" w:line="252" w:lineRule="auto"/>
            </w:pPr>
            <w:r>
              <w:rPr>
                <w:b/>
                <w:color w:val="FFFFFF"/>
                <w:sz w:val="19"/>
              </w:rPr>
              <w:t>Factor</w:t>
            </w:r>
          </w:p>
        </w:tc>
        <w:tc>
          <w:tcPr>
            <w:tcW w:type="dxa" w:w="864"/>
            <w:vAlign w:val="center"/>
            <w:shd w:fill="18344F"/>
            <w:tcMar>
              <w:top w:w="85" w:type="dxa"/>
              <w:bottom w:w="85" w:type="dxa"/>
              <w:left w:w="100" w:type="dxa"/>
              <w:right w:w="100" w:type="dxa"/>
            </w:tcMar>
          </w:tcPr>
          <w:p>
            <w:pPr>
              <w:spacing w:after="0" w:line="252" w:lineRule="auto"/>
            </w:pPr>
            <w:r>
              <w:rPr>
                <w:b/>
                <w:color w:val="FFFFFF"/>
                <w:sz w:val="19"/>
              </w:rPr>
              <w:t>Peso</w:t>
            </w:r>
          </w:p>
        </w:tc>
        <w:tc>
          <w:tcPr>
            <w:tcW w:type="dxa" w:w="6120"/>
            <w:vAlign w:val="center"/>
            <w:shd w:fill="18344F"/>
            <w:tcMar>
              <w:top w:w="85" w:type="dxa"/>
              <w:bottom w:w="85" w:type="dxa"/>
              <w:left w:w="100" w:type="dxa"/>
              <w:right w:w="100" w:type="dxa"/>
            </w:tcMar>
          </w:tcPr>
          <w:p>
            <w:pPr>
              <w:spacing w:after="0" w:line="252" w:lineRule="auto"/>
            </w:pPr>
            <w:r>
              <w:rPr>
                <w:b/>
                <w:color w:val="FFFFFF"/>
                <w:sz w:val="19"/>
              </w:rPr>
              <w:t>Normalización</w:t>
            </w:r>
          </w:p>
        </w:tc>
      </w:tr>
      <w:tr>
        <w:trPr>
          <w:cantSplit/>
        </w:trPr>
        <w:tc>
          <w:tcPr>
            <w:tcW w:type="dxa" w:w="2376"/>
            <w:vAlign w:val="center"/>
            <w:shd w:fill="FFFFFF"/>
            <w:tcMar>
              <w:top w:w="85" w:type="dxa"/>
              <w:bottom w:w="85" w:type="dxa"/>
              <w:left w:w="100" w:type="dxa"/>
              <w:right w:w="100" w:type="dxa"/>
            </w:tcMar>
          </w:tcPr>
          <w:p>
            <w:pPr>
              <w:spacing w:after="0" w:line="252" w:lineRule="auto"/>
            </w:pPr>
            <w:r>
              <w:rPr>
                <w:b w:val="0"/>
                <w:color w:val="000000"/>
                <w:sz w:val="19"/>
              </w:rPr>
              <w:t>C criticidad</w:t>
            </w:r>
          </w:p>
        </w:tc>
        <w:tc>
          <w:tcPr>
            <w:tcW w:type="dxa" w:w="864"/>
            <w:vAlign w:val="center"/>
            <w:shd w:fill="FFFFFF"/>
            <w:tcMar>
              <w:top w:w="85" w:type="dxa"/>
              <w:bottom w:w="85" w:type="dxa"/>
              <w:left w:w="100" w:type="dxa"/>
              <w:right w:w="100" w:type="dxa"/>
            </w:tcMar>
          </w:tcPr>
          <w:p>
            <w:pPr>
              <w:spacing w:after="0" w:line="252" w:lineRule="auto"/>
            </w:pPr>
            <w:r>
              <w:rPr>
                <w:b w:val="0"/>
                <w:color w:val="000000"/>
                <w:sz w:val="19"/>
              </w:rPr>
              <w:t>0,35</w:t>
            </w:r>
          </w:p>
        </w:tc>
        <w:tc>
          <w:tcPr>
            <w:tcW w:type="dxa" w:w="6120"/>
            <w:vAlign w:val="center"/>
            <w:shd w:fill="FFFFFF"/>
            <w:tcMar>
              <w:top w:w="85" w:type="dxa"/>
              <w:bottom w:w="85" w:type="dxa"/>
              <w:left w:w="100" w:type="dxa"/>
              <w:right w:w="100" w:type="dxa"/>
            </w:tcMar>
          </w:tcPr>
          <w:p>
            <w:pPr>
              <w:spacing w:after="0" w:line="252" w:lineRule="auto"/>
            </w:pPr>
            <w:r>
              <w:rPr>
                <w:b w:val="0"/>
                <w:color w:val="000000"/>
                <w:sz w:val="19"/>
              </w:rPr>
              <w:t>High 1,00; Medium 0,60; Low 0,30.</w:t>
            </w:r>
          </w:p>
        </w:tc>
      </w:tr>
      <w:tr>
        <w:trPr>
          <w:cantSplit/>
        </w:trPr>
        <w:tc>
          <w:tcPr>
            <w:tcW w:type="dxa" w:w="2376"/>
            <w:vAlign w:val="center"/>
            <w:shd w:fill="F3F6F9"/>
            <w:tcMar>
              <w:top w:w="85" w:type="dxa"/>
              <w:bottom w:w="85" w:type="dxa"/>
              <w:left w:w="100" w:type="dxa"/>
              <w:right w:w="100" w:type="dxa"/>
            </w:tcMar>
          </w:tcPr>
          <w:p>
            <w:pPr>
              <w:spacing w:after="0" w:line="252" w:lineRule="auto"/>
            </w:pPr>
            <w:r>
              <w:rPr>
                <w:b w:val="0"/>
                <w:color w:val="000000"/>
                <w:sz w:val="19"/>
              </w:rPr>
              <w:t>U fuente única</w:t>
            </w:r>
          </w:p>
        </w:tc>
        <w:tc>
          <w:tcPr>
            <w:tcW w:type="dxa" w:w="864"/>
            <w:vAlign w:val="center"/>
            <w:shd w:fill="F3F6F9"/>
            <w:tcMar>
              <w:top w:w="85" w:type="dxa"/>
              <w:bottom w:w="85" w:type="dxa"/>
              <w:left w:w="100" w:type="dxa"/>
              <w:right w:w="100" w:type="dxa"/>
            </w:tcMar>
          </w:tcPr>
          <w:p>
            <w:pPr>
              <w:spacing w:after="0" w:line="252" w:lineRule="auto"/>
            </w:pPr>
            <w:r>
              <w:rPr>
                <w:b w:val="0"/>
                <w:color w:val="000000"/>
                <w:sz w:val="19"/>
              </w:rPr>
              <w:t>0,30</w:t>
            </w:r>
          </w:p>
        </w:tc>
        <w:tc>
          <w:tcPr>
            <w:tcW w:type="dxa" w:w="6120"/>
            <w:vAlign w:val="center"/>
            <w:shd w:fill="F3F6F9"/>
            <w:tcMar>
              <w:top w:w="85" w:type="dxa"/>
              <w:bottom w:w="85" w:type="dxa"/>
              <w:left w:w="100" w:type="dxa"/>
              <w:right w:w="100" w:type="dxa"/>
            </w:tcMar>
          </w:tcPr>
          <w:p>
            <w:pPr>
              <w:spacing w:after="0" w:line="252" w:lineRule="auto"/>
            </w:pPr>
            <w:r>
              <w:rPr>
                <w:b w:val="0"/>
                <w:color w:val="000000"/>
                <w:sz w:val="19"/>
              </w:rPr>
              <w:t>Y 1,00; N 0,00. No se añade otro multiplicador.</w:t>
            </w:r>
          </w:p>
        </w:tc>
      </w:tr>
      <w:tr>
        <w:trPr>
          <w:cantSplit/>
        </w:trPr>
        <w:tc>
          <w:tcPr>
            <w:tcW w:type="dxa" w:w="2376"/>
            <w:vAlign w:val="center"/>
            <w:shd w:fill="FFFFFF"/>
            <w:tcMar>
              <w:top w:w="85" w:type="dxa"/>
              <w:bottom w:w="85" w:type="dxa"/>
              <w:left w:w="100" w:type="dxa"/>
              <w:right w:w="100" w:type="dxa"/>
            </w:tcMar>
          </w:tcPr>
          <w:p>
            <w:pPr>
              <w:spacing w:after="0" w:line="252" w:lineRule="auto"/>
            </w:pPr>
            <w:r>
              <w:rPr>
                <w:b w:val="0"/>
                <w:color w:val="000000"/>
                <w:sz w:val="19"/>
              </w:rPr>
              <w:t>B presión de cobertura</w:t>
            </w:r>
          </w:p>
        </w:tc>
        <w:tc>
          <w:tcPr>
            <w:tcW w:type="dxa" w:w="864"/>
            <w:vAlign w:val="center"/>
            <w:shd w:fill="FFFFFF"/>
            <w:tcMar>
              <w:top w:w="85" w:type="dxa"/>
              <w:bottom w:w="85" w:type="dxa"/>
              <w:left w:w="100" w:type="dxa"/>
              <w:right w:w="100" w:type="dxa"/>
            </w:tcMar>
          </w:tcPr>
          <w:p>
            <w:pPr>
              <w:spacing w:after="0" w:line="252" w:lineRule="auto"/>
            </w:pPr>
            <w:r>
              <w:rPr>
                <w:b w:val="0"/>
                <w:color w:val="000000"/>
                <w:sz w:val="19"/>
              </w:rPr>
              <w:t>0,25</w:t>
            </w:r>
          </w:p>
        </w:tc>
        <w:tc>
          <w:tcPr>
            <w:tcW w:type="dxa" w:w="6120"/>
            <w:vAlign w:val="center"/>
            <w:shd w:fill="FFFFFF"/>
            <w:tcMar>
              <w:top w:w="85" w:type="dxa"/>
              <w:bottom w:w="85" w:type="dxa"/>
              <w:left w:w="100" w:type="dxa"/>
              <w:right w:w="100" w:type="dxa"/>
            </w:tcMar>
          </w:tcPr>
          <w:p>
            <w:pPr>
              <w:spacing w:after="0" w:line="252" w:lineRule="auto"/>
            </w:pPr>
            <w:r>
              <w:rPr>
                <w:b w:val="0"/>
                <w:color w:val="000000"/>
                <w:sz w:val="19"/>
              </w:rPr>
              <w:t>Máximo de presión por lead time y por duración explícita.</w:t>
            </w:r>
          </w:p>
        </w:tc>
      </w:tr>
      <w:tr>
        <w:trPr>
          <w:cantSplit/>
        </w:trPr>
        <w:tc>
          <w:tcPr>
            <w:tcW w:type="dxa" w:w="2376"/>
            <w:vAlign w:val="center"/>
            <w:shd w:fill="F3F6F9"/>
            <w:tcMar>
              <w:top w:w="85" w:type="dxa"/>
              <w:bottom w:w="85" w:type="dxa"/>
              <w:left w:w="100" w:type="dxa"/>
              <w:right w:w="100" w:type="dxa"/>
            </w:tcMar>
          </w:tcPr>
          <w:p>
            <w:pPr>
              <w:spacing w:after="0" w:line="252" w:lineRule="auto"/>
            </w:pPr>
            <w:r>
              <w:rPr>
                <w:b w:val="0"/>
                <w:color w:val="000000"/>
                <w:sz w:val="19"/>
              </w:rPr>
              <w:t>G gasto en categoría</w:t>
            </w:r>
          </w:p>
        </w:tc>
        <w:tc>
          <w:tcPr>
            <w:tcW w:type="dxa" w:w="864"/>
            <w:vAlign w:val="center"/>
            <w:shd w:fill="F3F6F9"/>
            <w:tcMar>
              <w:top w:w="85" w:type="dxa"/>
              <w:bottom w:w="85" w:type="dxa"/>
              <w:left w:w="100" w:type="dxa"/>
              <w:right w:w="100" w:type="dxa"/>
            </w:tcMar>
          </w:tcPr>
          <w:p>
            <w:pPr>
              <w:spacing w:after="0" w:line="252" w:lineRule="auto"/>
            </w:pPr>
            <w:r>
              <w:rPr>
                <w:b w:val="0"/>
                <w:color w:val="000000"/>
                <w:sz w:val="19"/>
              </w:rPr>
              <w:t>0,10</w:t>
            </w:r>
          </w:p>
        </w:tc>
        <w:tc>
          <w:tcPr>
            <w:tcW w:type="dxa" w:w="6120"/>
            <w:vAlign w:val="center"/>
            <w:shd w:fill="F3F6F9"/>
            <w:tcMar>
              <w:top w:w="85" w:type="dxa"/>
              <w:bottom w:w="85" w:type="dxa"/>
              <w:left w:w="100" w:type="dxa"/>
              <w:right w:w="100" w:type="dxa"/>
            </w:tcMar>
          </w:tcPr>
          <w:p>
            <w:pPr>
              <w:spacing w:after="0" w:line="252" w:lineRule="auto"/>
            </w:pPr>
            <w:r>
              <w:rPr>
                <w:b w:val="0"/>
                <w:color w:val="000000"/>
                <w:sz w:val="19"/>
              </w:rPr>
              <w:t>Share_of_Category_Spend_% dividido entre 100.</w:t>
            </w:r>
          </w:p>
        </w:tc>
      </w:tr>
    </w:tbl>
    <w:p>
      <w:pPr>
        <w:spacing w:after="0"/>
      </w:pPr>
    </w:p>
    <w:p>
      <w:r>
        <w:t>B_lead = máximo de 0 y (lead − inventario) / lead. B_event = máximo de 0 y (duración − inventario) / duración. Acotar ambos a 1 y tomar el máximo disponible. Lead y duración deben ser positivos. Una duración mínima conserva su condición de límite inferior.</w:t>
      </w:r>
    </w:p>
    <w:p>
      <w:r>
        <w:t>En Logistics y Services, omitir B y renormalizar. Con inventario físico desconocido, omitir B y marcar revisión. Cero días reales sí es válido. Si faltan todos los factores contextuales o la severidad de un riesgo, P queda nulo. Sin riesgo o con evento resuelto, la prioridad activa es cero; se conserva el historial.</w:t>
      </w:r>
    </w:p>
    <w:p>
      <w:pPr>
        <w:pStyle w:val="Heading2"/>
      </w:pPr>
      <w:r>
        <w:t>Ejemplo reproducible</w:t>
      </w:r>
    </w:p>
    <w:p>
      <w:r>
        <w:t>Severidad 9; High; fuente única; gasto 40%; inventario 30 días; lead 90. B = 0,6667 y E = 0,8567. Resultado P = 83,6. Si solo cambia fuente única a N, P = 70,1. El código de referencia prueba estos casos y las propiedades de la fórmula.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264"/>
      </w:tblGrid>
      <w:tr>
        <w:trPr>
          <w:cantSplit/>
          <w:tblHeader/>
        </w:trPr>
        <w:tc>
          <w:tcPr>
            <w:tcW w:type="dxa" w:w="3096"/>
            <w:vAlign w:val="center"/>
            <w:shd w:fill="18344F"/>
            <w:tcMar>
              <w:top w:w="85" w:type="dxa"/>
              <w:bottom w:w="85" w:type="dxa"/>
              <w:left w:w="100" w:type="dxa"/>
              <w:right w:w="100" w:type="dxa"/>
            </w:tcMar>
          </w:tcPr>
          <w:p>
            <w:pPr>
              <w:spacing w:after="0" w:line="252" w:lineRule="auto"/>
            </w:pPr>
            <w:r>
              <w:rPr>
                <w:b/>
                <w:color w:val="FFFFFF"/>
                <w:sz w:val="19"/>
              </w:rPr>
              <w:t>Regla</w:t>
            </w:r>
          </w:p>
        </w:tc>
        <w:tc>
          <w:tcPr>
            <w:tcW w:type="dxa" w:w="6264"/>
            <w:vAlign w:val="center"/>
            <w:shd w:fill="18344F"/>
            <w:tcMar>
              <w:top w:w="85" w:type="dxa"/>
              <w:bottom w:w="85" w:type="dxa"/>
              <w:left w:w="100" w:type="dxa"/>
              <w:right w:w="100" w:type="dxa"/>
            </w:tcMar>
          </w:tcPr>
          <w:p>
            <w:pPr>
              <w:spacing w:after="0" w:line="252" w:lineRule="auto"/>
            </w:pPr>
            <w:r>
              <w:rPr>
                <w:b/>
                <w:color w:val="FFFFFF"/>
                <w:sz w:val="19"/>
              </w:rPr>
              <w:t>Valor inicial</w:t>
            </w:r>
          </w:p>
        </w:tc>
      </w:tr>
      <w:tr>
        <w:trPr>
          <w:cantSplit/>
        </w:trPr>
        <w:tc>
          <w:tcPr>
            <w:tcW w:type="dxa" w:w="3096"/>
            <w:vAlign w:val="center"/>
            <w:shd w:fill="FFFFFF"/>
            <w:tcMar>
              <w:top w:w="85" w:type="dxa"/>
              <w:bottom w:w="85" w:type="dxa"/>
              <w:left w:w="100" w:type="dxa"/>
              <w:right w:w="100" w:type="dxa"/>
            </w:tcMar>
          </w:tcPr>
          <w:p>
            <w:pPr>
              <w:spacing w:after="0" w:line="252" w:lineRule="auto"/>
            </w:pPr>
            <w:r>
              <w:rPr>
                <w:b w:val="0"/>
                <w:color w:val="000000"/>
                <w:sz w:val="19"/>
              </w:rPr>
              <w:t>Aceptar vínculo, riesgo o urgencia</w:t>
            </w:r>
          </w:p>
        </w:tc>
        <w:tc>
          <w:tcPr>
            <w:tcW w:type="dxa" w:w="6264"/>
            <w:vAlign w:val="center"/>
            <w:shd w:fill="FFFFFF"/>
            <w:tcMar>
              <w:top w:w="85" w:type="dxa"/>
              <w:bottom w:w="85" w:type="dxa"/>
              <w:left w:w="100" w:type="dxa"/>
              <w:right w:w="100" w:type="dxa"/>
            </w:tcMar>
          </w:tcPr>
          <w:p>
            <w:pPr>
              <w:spacing w:after="0" w:line="252" w:lineRule="auto"/>
            </w:pPr>
            <w:r>
              <w:rPr>
                <w:b w:val="0"/>
                <w:color w:val="000000"/>
                <w:sz w:val="19"/>
              </w:rPr>
              <w:t>Probabilidad ≥0,50; urgencia exige riesgo.</w:t>
            </w:r>
          </w:p>
        </w:tc>
      </w:tr>
      <w:tr>
        <w:trPr>
          <w:cantSplit/>
        </w:trPr>
        <w:tc>
          <w:tcPr>
            <w:tcW w:type="dxa" w:w="3096"/>
            <w:vAlign w:val="center"/>
            <w:shd w:fill="F3F6F9"/>
            <w:tcMar>
              <w:top w:w="85" w:type="dxa"/>
              <w:bottom w:w="85" w:type="dxa"/>
              <w:left w:w="100" w:type="dxa"/>
              <w:right w:w="100" w:type="dxa"/>
            </w:tcMar>
          </w:tcPr>
          <w:p>
            <w:pPr>
              <w:spacing w:after="0" w:line="252" w:lineRule="auto"/>
            </w:pPr>
            <w:r>
              <w:rPr>
                <w:b w:val="0"/>
                <w:color w:val="000000"/>
                <w:sz w:val="19"/>
              </w:rPr>
              <w:t>Revisión por ambigüedad</w:t>
            </w:r>
          </w:p>
        </w:tc>
        <w:tc>
          <w:tcPr>
            <w:tcW w:type="dxa" w:w="6264"/>
            <w:vAlign w:val="center"/>
            <w:shd w:fill="F3F6F9"/>
            <w:tcMar>
              <w:top w:w="85" w:type="dxa"/>
              <w:bottom w:w="85" w:type="dxa"/>
              <w:left w:w="100" w:type="dxa"/>
              <w:right w:w="100" w:type="dxa"/>
            </w:tcMar>
          </w:tcPr>
          <w:p>
            <w:pPr>
              <w:spacing w:after="0" w:line="252" w:lineRule="auto"/>
            </w:pPr>
            <w:r>
              <w:rPr>
                <w:b w:val="0"/>
                <w:color w:val="000000"/>
                <w:sz w:val="19"/>
              </w:rPr>
              <w:t>Noul entre 0,35 y 0,65 o confidence Choice/Score &lt;0,60.</w:t>
            </w:r>
          </w:p>
        </w:tc>
      </w:tr>
      <w:tr>
        <w:trPr>
          <w:cantSplit/>
        </w:trPr>
        <w:tc>
          <w:tcPr>
            <w:tcW w:type="dxa" w:w="3096"/>
            <w:vAlign w:val="center"/>
            <w:shd w:fill="FFFFFF"/>
            <w:tcMar>
              <w:top w:w="85" w:type="dxa"/>
              <w:bottom w:w="85" w:type="dxa"/>
              <w:left w:w="100" w:type="dxa"/>
              <w:right w:w="100" w:type="dxa"/>
            </w:tcMar>
          </w:tcPr>
          <w:p>
            <w:pPr>
              <w:spacing w:after="0" w:line="252" w:lineRule="auto"/>
            </w:pPr>
            <w:r>
              <w:rPr>
                <w:b w:val="0"/>
                <w:color w:val="000000"/>
                <w:sz w:val="19"/>
              </w:rPr>
              <w:t>Bandas de prioridad</w:t>
            </w:r>
          </w:p>
        </w:tc>
        <w:tc>
          <w:tcPr>
            <w:tcW w:type="dxa" w:w="6264"/>
            <w:vAlign w:val="center"/>
            <w:shd w:fill="FFFFFF"/>
            <w:tcMar>
              <w:top w:w="85" w:type="dxa"/>
              <w:bottom w:w="85" w:type="dxa"/>
              <w:left w:w="100" w:type="dxa"/>
              <w:right w:w="100" w:type="dxa"/>
            </w:tcMar>
          </w:tcPr>
          <w:p>
            <w:pPr>
              <w:spacing w:after="0" w:line="252" w:lineRule="auto"/>
            </w:pPr>
            <w:r>
              <w:rPr>
                <w:b w:val="0"/>
                <w:color w:val="000000"/>
                <w:sz w:val="19"/>
              </w:rPr>
              <w:t>Baja &lt;35; Media 35–64,9; Alta 65–79,9; Crítica ≥80.</w:t>
            </w:r>
          </w:p>
        </w:tc>
      </w:tr>
      <w:tr>
        <w:trPr>
          <w:cantSplit/>
        </w:trPr>
        <w:tc>
          <w:tcPr>
            <w:tcW w:type="dxa" w:w="3096"/>
            <w:vAlign w:val="center"/>
            <w:shd w:fill="F3F6F9"/>
            <w:tcMar>
              <w:top w:w="85" w:type="dxa"/>
              <w:bottom w:w="85" w:type="dxa"/>
              <w:left w:w="100" w:type="dxa"/>
              <w:right w:w="100" w:type="dxa"/>
            </w:tcMar>
          </w:tcPr>
          <w:p>
            <w:pPr>
              <w:spacing w:after="0" w:line="252" w:lineRule="auto"/>
            </w:pPr>
            <w:r>
              <w:rPr>
                <w:b w:val="0"/>
                <w:color w:val="000000"/>
                <w:sz w:val="19"/>
              </w:rPr>
              <w:t>Sonido automático</w:t>
            </w:r>
          </w:p>
        </w:tc>
        <w:tc>
          <w:tcPr>
            <w:tcW w:type="dxa" w:w="6264"/>
            <w:vAlign w:val="center"/>
            <w:shd w:fill="F3F6F9"/>
            <w:tcMar>
              <w:top w:w="85" w:type="dxa"/>
              <w:bottom w:w="85" w:type="dxa"/>
              <w:left w:w="100" w:type="dxa"/>
              <w:right w:w="100" w:type="dxa"/>
            </w:tcMar>
          </w:tcPr>
          <w:p>
            <w:pPr>
              <w:spacing w:after="0" w:line="252" w:lineRule="auto"/>
            </w:pPr>
            <w:r>
              <w:rPr>
                <w:b w:val="0"/>
                <w:color w:val="000000"/>
                <w:sz w:val="19"/>
              </w:rPr>
              <w:t>Evento activo, urgente, sin revisión y las tres probabilidades ≥0,80.</w:t>
            </w:r>
          </w:p>
        </w:tc>
      </w:tr>
    </w:tbl>
    <w:p>
      <w:pPr>
        <w:spacing w:after="0"/>
      </w:pPr>
    </w:p>
    <w:p>
      <w:r>
        <w:t>Una prioridad crítica con Urgent=N genera revisión por discrepancia. No cambia la etiqueta automáticamente. Un urgente de confianza alta puede avisar con prioridad inferior a 80. Los valores concretos y el redondeo residen en config/risk_policy.json y reference/scoring.py.</w:t>
      </w:r>
    </w:p>
    <w:p>
      <w:r>
        <w:br w:type="page"/>
      </w:r>
    </w:p>
    <w:p>
      <w:pPr>
        <w:pStyle w:val="Heading1"/>
      </w:pPr>
      <w:r>
        <w:t>RSS reales y operación continua</w:t>
      </w:r>
    </w:p>
    <w:p>
      <w:r>
        <w:t>RSS es obligatorio en la primera versión. Se eligieron fuentes farmacéuticas, regulatorias, logísticas, de desastres y actualidad general. Las seis respondieron HTTP 200 y XML con noticias el 16 de octubre de 2026 desde el entorno de investigación. Las URLs exactas y evidencia están en config y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4680"/>
        <w:gridCol w:w="1728"/>
      </w:tblGrid>
      <w:tr>
        <w:trPr>
          <w:cantSplit/>
          <w:tblHeader/>
        </w:trPr>
        <w:tc>
          <w:tcPr>
            <w:tcW w:type="dxa" w:w="2952"/>
            <w:vAlign w:val="center"/>
            <w:shd w:fill="18344F"/>
            <w:tcMar>
              <w:top w:w="85" w:type="dxa"/>
              <w:bottom w:w="85" w:type="dxa"/>
              <w:left w:w="100" w:type="dxa"/>
              <w:right w:w="100" w:type="dxa"/>
            </w:tcMar>
          </w:tcPr>
          <w:p>
            <w:pPr>
              <w:spacing w:after="0" w:line="252" w:lineRule="auto"/>
            </w:pPr>
            <w:r>
              <w:rPr>
                <w:b/>
                <w:color w:val="FFFFFF"/>
                <w:sz w:val="19"/>
              </w:rPr>
              <w:t>Fuente</w:t>
            </w:r>
          </w:p>
        </w:tc>
        <w:tc>
          <w:tcPr>
            <w:tcW w:type="dxa" w:w="4680"/>
            <w:vAlign w:val="center"/>
            <w:shd w:fill="18344F"/>
            <w:tcMar>
              <w:top w:w="85" w:type="dxa"/>
              <w:bottom w:w="85" w:type="dxa"/>
              <w:left w:w="100" w:type="dxa"/>
              <w:right w:w="100" w:type="dxa"/>
            </w:tcMar>
          </w:tcPr>
          <w:p>
            <w:pPr>
              <w:spacing w:after="0" w:line="252" w:lineRule="auto"/>
            </w:pPr>
            <w:r>
              <w:rPr>
                <w:b/>
                <w:color w:val="FFFFFF"/>
                <w:sz w:val="19"/>
              </w:rPr>
              <w:t>Cobertura</w:t>
            </w:r>
          </w:p>
        </w:tc>
        <w:tc>
          <w:tcPr>
            <w:tcW w:type="dxa" w:w="1728"/>
            <w:vAlign w:val="center"/>
            <w:shd w:fill="18344F"/>
            <w:tcMar>
              <w:top w:w="85" w:type="dxa"/>
              <w:bottom w:w="85" w:type="dxa"/>
              <w:left w:w="100" w:type="dxa"/>
              <w:right w:w="100" w:type="dxa"/>
            </w:tcMar>
          </w:tcPr>
          <w:p>
            <w:pPr>
              <w:spacing w:after="0" w:line="252" w:lineRule="auto"/>
            </w:pPr>
            <w:r>
              <w:rPr>
                <w:b/>
                <w:color w:val="FFFFFF"/>
                <w:sz w:val="19"/>
              </w:rPr>
              <w:t>Items observados</w:t>
            </w:r>
          </w:p>
        </w:tc>
      </w:tr>
      <w:tr>
        <w:trPr>
          <w:cantSplit/>
        </w:trPr>
        <w:tc>
          <w:tcPr>
            <w:tcW w:type="dxa" w:w="2952"/>
            <w:vAlign w:val="center"/>
            <w:shd w:fill="FFFFFF"/>
            <w:tcMar>
              <w:top w:w="85" w:type="dxa"/>
              <w:bottom w:w="85" w:type="dxa"/>
              <w:left w:w="100" w:type="dxa"/>
              <w:right w:w="100" w:type="dxa"/>
            </w:tcMar>
          </w:tcPr>
          <w:p>
            <w:pPr>
              <w:spacing w:after="0" w:line="252" w:lineRule="auto"/>
            </w:pPr>
            <w:r>
              <w:rPr>
                <w:b w:val="0"/>
                <w:color w:val="000000"/>
                <w:sz w:val="19"/>
              </w:rPr>
              <w:t>BioPharma Dive</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19"/>
              </w:rPr>
              <w:t>Industria farmacéutica</w:t>
            </w:r>
          </w:p>
        </w:tc>
        <w:tc>
          <w:tcPr>
            <w:tcW w:type="dxa" w:w="1728"/>
            <w:vAlign w:val="center"/>
            <w:shd w:fill="FFFFFF"/>
            <w:tcMar>
              <w:top w:w="85" w:type="dxa"/>
              <w:bottom w:w="85" w:type="dxa"/>
              <w:left w:w="100" w:type="dxa"/>
              <w:right w:w="100" w:type="dxa"/>
            </w:tcMar>
          </w:tcPr>
          <w:p>
            <w:pPr>
              <w:spacing w:after="0" w:line="252" w:lineRule="auto"/>
            </w:pPr>
            <w:r>
              <w:rPr>
                <w:b w:val="0"/>
                <w:color w:val="000000"/>
                <w:sz w:val="19"/>
              </w:rPr>
              <w:t>10</w:t>
            </w:r>
          </w:p>
        </w:tc>
      </w:tr>
      <w:tr>
        <w:trPr>
          <w:cantSplit/>
        </w:trPr>
        <w:tc>
          <w:tcPr>
            <w:tcW w:type="dxa" w:w="2952"/>
            <w:vAlign w:val="center"/>
            <w:shd w:fill="F3F6F9"/>
            <w:tcMar>
              <w:top w:w="85" w:type="dxa"/>
              <w:bottom w:w="85" w:type="dxa"/>
              <w:left w:w="100" w:type="dxa"/>
              <w:right w:w="100" w:type="dxa"/>
            </w:tcMar>
          </w:tcPr>
          <w:p>
            <w:pPr>
              <w:spacing w:after="0" w:line="252" w:lineRule="auto"/>
            </w:pPr>
            <w:r>
              <w:rPr>
                <w:b w:val="0"/>
                <w:color w:val="000000"/>
                <w:sz w:val="19"/>
              </w:rPr>
              <w:t>Supply Chain Dive</w:t>
            </w:r>
          </w:p>
        </w:tc>
        <w:tc>
          <w:tcPr>
            <w:tcW w:type="dxa" w:w="4680"/>
            <w:vAlign w:val="center"/>
            <w:shd w:fill="F3F6F9"/>
            <w:tcMar>
              <w:top w:w="85" w:type="dxa"/>
              <w:bottom w:w="85" w:type="dxa"/>
              <w:left w:w="100" w:type="dxa"/>
              <w:right w:w="100" w:type="dxa"/>
            </w:tcMar>
          </w:tcPr>
          <w:p>
            <w:pPr>
              <w:spacing w:after="0" w:line="252" w:lineRule="auto"/>
            </w:pPr>
            <w:r>
              <w:rPr>
                <w:b w:val="0"/>
                <w:color w:val="000000"/>
                <w:sz w:val="19"/>
              </w:rPr>
              <w:t>Cadena de suministro</w:t>
            </w:r>
          </w:p>
        </w:tc>
        <w:tc>
          <w:tcPr>
            <w:tcW w:type="dxa" w:w="1728"/>
            <w:vAlign w:val="center"/>
            <w:shd w:fill="F3F6F9"/>
            <w:tcMar>
              <w:top w:w="85" w:type="dxa"/>
              <w:bottom w:w="85" w:type="dxa"/>
              <w:left w:w="100" w:type="dxa"/>
              <w:right w:w="100" w:type="dxa"/>
            </w:tcMar>
          </w:tcPr>
          <w:p>
            <w:pPr>
              <w:spacing w:after="0" w:line="252" w:lineRule="auto"/>
            </w:pPr>
            <w:r>
              <w:rPr>
                <w:b w:val="0"/>
                <w:color w:val="000000"/>
                <w:sz w:val="19"/>
              </w:rPr>
              <w:t>10</w:t>
            </w:r>
          </w:p>
        </w:tc>
      </w:tr>
      <w:tr>
        <w:trPr>
          <w:cantSplit/>
        </w:trPr>
        <w:tc>
          <w:tcPr>
            <w:tcW w:type="dxa" w:w="2952"/>
            <w:vAlign w:val="center"/>
            <w:shd w:fill="FFFFFF"/>
            <w:tcMar>
              <w:top w:w="85" w:type="dxa"/>
              <w:bottom w:w="85" w:type="dxa"/>
              <w:left w:w="100" w:type="dxa"/>
              <w:right w:w="100" w:type="dxa"/>
            </w:tcMar>
          </w:tcPr>
          <w:p>
            <w:pPr>
              <w:spacing w:after="0" w:line="252" w:lineRule="auto"/>
            </w:pPr>
            <w:r>
              <w:rPr>
                <w:b w:val="0"/>
                <w:color w:val="000000"/>
                <w:sz w:val="19"/>
              </w:rPr>
              <w:t>The Loadstar</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19"/>
              </w:rPr>
              <w:t>Transporte y logística</w:t>
            </w:r>
          </w:p>
        </w:tc>
        <w:tc>
          <w:tcPr>
            <w:tcW w:type="dxa" w:w="1728"/>
            <w:vAlign w:val="center"/>
            <w:shd w:fill="FFFFFF"/>
            <w:tcMar>
              <w:top w:w="85" w:type="dxa"/>
              <w:bottom w:w="85" w:type="dxa"/>
              <w:left w:w="100" w:type="dxa"/>
              <w:right w:w="100" w:type="dxa"/>
            </w:tcMar>
          </w:tcPr>
          <w:p>
            <w:pPr>
              <w:spacing w:after="0" w:line="252" w:lineRule="auto"/>
            </w:pPr>
            <w:r>
              <w:rPr>
                <w:b w:val="0"/>
                <w:color w:val="000000"/>
                <w:sz w:val="19"/>
              </w:rPr>
              <w:t>10</w:t>
            </w:r>
          </w:p>
        </w:tc>
      </w:tr>
      <w:tr>
        <w:trPr>
          <w:cantSplit/>
        </w:trPr>
        <w:tc>
          <w:tcPr>
            <w:tcW w:type="dxa" w:w="2952"/>
            <w:vAlign w:val="center"/>
            <w:shd w:fill="F3F6F9"/>
            <w:tcMar>
              <w:top w:w="85" w:type="dxa"/>
              <w:bottom w:w="85" w:type="dxa"/>
              <w:left w:w="100" w:type="dxa"/>
              <w:right w:w="100" w:type="dxa"/>
            </w:tcMar>
          </w:tcPr>
          <w:p>
            <w:pPr>
              <w:spacing w:after="0" w:line="252" w:lineRule="auto"/>
            </w:pPr>
            <w:r>
              <w:rPr>
                <w:b w:val="0"/>
                <w:color w:val="000000"/>
                <w:sz w:val="19"/>
              </w:rPr>
              <w:t>GDACS</w:t>
            </w:r>
          </w:p>
        </w:tc>
        <w:tc>
          <w:tcPr>
            <w:tcW w:type="dxa" w:w="4680"/>
            <w:vAlign w:val="center"/>
            <w:shd w:fill="F3F6F9"/>
            <w:tcMar>
              <w:top w:w="85" w:type="dxa"/>
              <w:bottom w:w="85" w:type="dxa"/>
              <w:left w:w="100" w:type="dxa"/>
              <w:right w:w="100" w:type="dxa"/>
            </w:tcMar>
          </w:tcPr>
          <w:p>
            <w:pPr>
              <w:spacing w:after="0" w:line="252" w:lineRule="auto"/>
            </w:pPr>
            <w:r>
              <w:rPr>
                <w:b w:val="0"/>
                <w:color w:val="000000"/>
                <w:sz w:val="19"/>
              </w:rPr>
              <w:t>Desastres y ubicación</w:t>
            </w:r>
          </w:p>
        </w:tc>
        <w:tc>
          <w:tcPr>
            <w:tcW w:type="dxa" w:w="1728"/>
            <w:vAlign w:val="center"/>
            <w:shd w:fill="F3F6F9"/>
            <w:tcMar>
              <w:top w:w="85" w:type="dxa"/>
              <w:bottom w:w="85" w:type="dxa"/>
              <w:left w:w="100" w:type="dxa"/>
              <w:right w:w="100" w:type="dxa"/>
            </w:tcMar>
          </w:tcPr>
          <w:p>
            <w:pPr>
              <w:spacing w:after="0" w:line="252" w:lineRule="auto"/>
            </w:pPr>
            <w:r>
              <w:rPr>
                <w:b w:val="0"/>
                <w:color w:val="000000"/>
                <w:sz w:val="19"/>
              </w:rPr>
              <w:t>238</w:t>
            </w:r>
          </w:p>
        </w:tc>
      </w:tr>
      <w:tr>
        <w:trPr>
          <w:cantSplit/>
        </w:trPr>
        <w:tc>
          <w:tcPr>
            <w:tcW w:type="dxa" w:w="2952"/>
            <w:vAlign w:val="center"/>
            <w:shd w:fill="FFFFFF"/>
            <w:tcMar>
              <w:top w:w="85" w:type="dxa"/>
              <w:bottom w:w="85" w:type="dxa"/>
              <w:left w:w="100" w:type="dxa"/>
              <w:right w:w="100" w:type="dxa"/>
            </w:tcMar>
          </w:tcPr>
          <w:p>
            <w:pPr>
              <w:spacing w:after="0" w:line="252" w:lineRule="auto"/>
            </w:pPr>
            <w:r>
              <w:rPr>
                <w:b w:val="0"/>
                <w:color w:val="000000"/>
                <w:sz w:val="19"/>
              </w:rPr>
              <w:t>EMA</w:t>
            </w:r>
          </w:p>
        </w:tc>
        <w:tc>
          <w:tcPr>
            <w:tcW w:type="dxa" w:w="4680"/>
            <w:vAlign w:val="center"/>
            <w:shd w:fill="FFFFFF"/>
            <w:tcMar>
              <w:top w:w="85" w:type="dxa"/>
              <w:bottom w:w="85" w:type="dxa"/>
              <w:left w:w="100" w:type="dxa"/>
              <w:right w:w="100" w:type="dxa"/>
            </w:tcMar>
          </w:tcPr>
          <w:p>
            <w:pPr>
              <w:spacing w:after="0" w:line="252" w:lineRule="auto"/>
            </w:pPr>
            <w:r>
              <w:rPr>
                <w:b w:val="0"/>
                <w:color w:val="000000"/>
                <w:sz w:val="19"/>
              </w:rPr>
              <w:t>Regulación y comunicación sanitaria</w:t>
            </w:r>
          </w:p>
        </w:tc>
        <w:tc>
          <w:tcPr>
            <w:tcW w:type="dxa" w:w="1728"/>
            <w:vAlign w:val="center"/>
            <w:shd w:fill="FFFFFF"/>
            <w:tcMar>
              <w:top w:w="85" w:type="dxa"/>
              <w:bottom w:w="85" w:type="dxa"/>
              <w:left w:w="100" w:type="dxa"/>
              <w:right w:w="100" w:type="dxa"/>
            </w:tcMar>
          </w:tcPr>
          <w:p>
            <w:pPr>
              <w:spacing w:after="0" w:line="252" w:lineRule="auto"/>
            </w:pPr>
            <w:r>
              <w:rPr>
                <w:b w:val="0"/>
                <w:color w:val="000000"/>
                <w:sz w:val="19"/>
              </w:rPr>
              <w:t>11</w:t>
            </w:r>
          </w:p>
        </w:tc>
      </w:tr>
      <w:tr>
        <w:trPr>
          <w:cantSplit/>
        </w:trPr>
        <w:tc>
          <w:tcPr>
            <w:tcW w:type="dxa" w:w="2952"/>
            <w:vAlign w:val="center"/>
            <w:shd w:fill="F3F6F9"/>
            <w:tcMar>
              <w:top w:w="85" w:type="dxa"/>
              <w:bottom w:w="85" w:type="dxa"/>
              <w:left w:w="100" w:type="dxa"/>
              <w:right w:w="100" w:type="dxa"/>
            </w:tcMar>
          </w:tcPr>
          <w:p>
            <w:pPr>
              <w:spacing w:after="0" w:line="252" w:lineRule="auto"/>
            </w:pPr>
            <w:r>
              <w:rPr>
                <w:b w:val="0"/>
                <w:color w:val="000000"/>
                <w:sz w:val="19"/>
              </w:rPr>
              <w:t>EL PAÍS Internacional</w:t>
            </w:r>
          </w:p>
        </w:tc>
        <w:tc>
          <w:tcPr>
            <w:tcW w:type="dxa" w:w="4680"/>
            <w:vAlign w:val="center"/>
            <w:shd w:fill="F3F6F9"/>
            <w:tcMar>
              <w:top w:w="85" w:type="dxa"/>
              <w:bottom w:w="85" w:type="dxa"/>
              <w:left w:w="100" w:type="dxa"/>
              <w:right w:w="100" w:type="dxa"/>
            </w:tcMar>
          </w:tcPr>
          <w:p>
            <w:pPr>
              <w:spacing w:after="0" w:line="252" w:lineRule="auto"/>
            </w:pPr>
            <w:r>
              <w:rPr>
                <w:b w:val="0"/>
                <w:color w:val="000000"/>
                <w:sz w:val="19"/>
              </w:rPr>
              <w:t>Actualidad general en español</w:t>
            </w:r>
          </w:p>
        </w:tc>
        <w:tc>
          <w:tcPr>
            <w:tcW w:type="dxa" w:w="1728"/>
            <w:vAlign w:val="center"/>
            <w:shd w:fill="F3F6F9"/>
            <w:tcMar>
              <w:top w:w="85" w:type="dxa"/>
              <w:bottom w:w="85" w:type="dxa"/>
              <w:left w:w="100" w:type="dxa"/>
              <w:right w:w="100" w:type="dxa"/>
            </w:tcMar>
          </w:tcPr>
          <w:p>
            <w:pPr>
              <w:spacing w:after="0" w:line="252" w:lineRule="auto"/>
            </w:pPr>
            <w:r>
              <w:rPr>
                <w:b w:val="0"/>
                <w:color w:val="000000"/>
                <w:sz w:val="19"/>
              </w:rPr>
              <w:t>24</w:t>
            </w:r>
          </w:p>
        </w:tc>
      </w:tr>
    </w:tbl>
    <w:p>
      <w:pPr>
        <w:spacing w:after="0"/>
      </w:pPr>
    </w:p>
    <w:p>
      <w:pPr>
        <w:pStyle w:val="Heading2"/>
      </w:pPr>
      <w:r>
        <w:t>Ingesta y límites iniciales</w:t>
      </w:r>
    </w:p>
    <w:p>
      <w:r>
        <w:t>El worker consulta cada 300 segundos. El presentador puede pulsar Actualizar ahora. Al iniciar, tomar hasta diez artículos por fuente de las últimas 48 horas. El presupuesto inicial es de 100 artículos nuevos analizados por día UTC. Los excedentes permanecen pendientes y visibles.</w:t>
      </w:r>
    </w:p>
    <w:p>
      <w:r>
        <w:t>Enviar ETag y Last-Modified; un 304 es éxito sin novedades. Limitar a diez segundos y 4 MB por respuesta. Parsear RSS o Atom con entidades externas desactivadas, conservar URL y texto recibido, sanear HTML y validar destinos y redirects. No exigir extracción de artículos completos ni acceso a contenido restringido.</w:t>
      </w:r>
    </w:p>
    <w:p>
      <w:pPr>
        <w:pStyle w:val="Heading2"/>
      </w:pPr>
      <w:r>
        <w:t>Versiones y trazabilidad</w:t>
      </w:r>
    </w:p>
    <w:p>
      <w:r>
        <w:t>Identificar por fuente y GUID, después por URL canónica; el hash distingue versiones. El mismo contenido no repite análisis. Un artículo actualizado bajo el mismo GUID genera nueva versión. La similitud entre fuentes puede proponer un incidente común, pero no elimina fuentes o evidencia.</w:t>
      </w:r>
    </w:p>
    <w:p>
      <w:r>
        <w:t>Mostrar última consulta, último éxito, status HTTP, novedades y error por fuente. Una caída conserva el historial con fecha visible y no impide consultar las demás. Fuente en vivo requiere consulta real; una caché histórica se etiqueta. En el ensayo desde Railway deben funcionar al menos cuatro de las seis.</w:t>
      </w:r>
    </w:p>
    <w:p>
      <w:pPr>
        <w:pStyle w:val="Heading2"/>
      </w:pPr>
      <w:r>
        <w:t>Analítica</w:t>
      </w:r>
    </w:p>
    <w:p>
      <w:r>
        <w:t>Medir recibidas, duplicadas, pendientes, procesadas, errores, vinculadas, riesgos y urgentes por contexto y fuente. Relevante significa vínculo con al menos un proveedor, incluso si la noticia es positiva. Diferenciar artículos y proveedores únicos. Mostrar latencia y tamaño de muestra; no convertir errores en irrelevantes.</w:t>
      </w:r>
    </w:p>
    <w:p>
      <w:r>
        <w:br w:type="page"/>
      </w:r>
    </w:p>
    <w:p>
      <w:pPr>
        <w:pStyle w:val="Heading1"/>
      </w:pPr>
      <w:r>
        <w:t>Diseño responsive y pantallas</w:t>
      </w:r>
    </w:p>
    <w:p>
      <w:r>
        <w:t>La estética se inspira en la claridad de Stripe: blanco, lavanda, texto navy y acentos púrpura/cian. El dashboard muestra trabajo real desde la primera pantalla. La decoración se concentra en una cabecera compacta y deja espacio a evidencia, números y acciones.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632"/>
      </w:tblGrid>
      <w:tr>
        <w:trPr>
          <w:cantSplit/>
          <w:tblHeader/>
        </w:trPr>
        <w:tc>
          <w:tcPr>
            <w:tcW w:type="dxa" w:w="1728"/>
            <w:vAlign w:val="center"/>
            <w:shd w:fill="18344F"/>
            <w:tcMar>
              <w:top w:w="85" w:type="dxa"/>
              <w:bottom w:w="85" w:type="dxa"/>
              <w:left w:w="100" w:type="dxa"/>
              <w:right w:w="100" w:type="dxa"/>
            </w:tcMar>
          </w:tcPr>
          <w:p>
            <w:pPr>
              <w:spacing w:after="0" w:line="252" w:lineRule="auto"/>
            </w:pPr>
            <w:r>
              <w:rPr>
                <w:b/>
                <w:color w:val="FFFFFF"/>
                <w:sz w:val="19"/>
              </w:rPr>
              <w:t>Pantalla</w:t>
            </w:r>
          </w:p>
        </w:tc>
        <w:tc>
          <w:tcPr>
            <w:tcW w:type="dxa" w:w="7632"/>
            <w:vAlign w:val="center"/>
            <w:shd w:fill="18344F"/>
            <w:tcMar>
              <w:top w:w="85" w:type="dxa"/>
              <w:bottom w:w="85" w:type="dxa"/>
              <w:left w:w="100" w:type="dxa"/>
              <w:right w:w="100" w:type="dxa"/>
            </w:tcMar>
          </w:tcPr>
          <w:p>
            <w:pPr>
              <w:spacing w:after="0" w:line="252" w:lineRule="auto"/>
            </w:pPr>
            <w:r>
              <w:rPr>
                <w:b/>
                <w:color w:val="FFFFFF"/>
                <w:sz w:val="19"/>
              </w:rPr>
              <w:t>Contenido principal</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Resumen</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KPIs, ranking de proveedores, novedades, fuentes y progreso del lote.</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Proveedores</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Búsqueda y filtros por urgencia, criticidad, categoría, fuente única y alternativo.</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Ficha</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Ubicación, material, cobertura, lead, productos, alternativo, score e incidentes.</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Noticias</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Fuente, fecha, titular, categoría, vínculos y estado; detalle con evidencia exacta.</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Alertas</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Nuevas, reconocidas y resueltas. Reconocer no cierra el incidente.</w:t>
            </w:r>
          </w:p>
        </w:tc>
      </w:tr>
      <w:tr>
        <w:trPr>
          <w:cantSplit/>
        </w:trPr>
        <w:tc>
          <w:tcPr>
            <w:tcW w:type="dxa" w:w="1728"/>
            <w:vAlign w:val="center"/>
            <w:shd w:fill="F3F6F9"/>
            <w:tcMar>
              <w:top w:w="85" w:type="dxa"/>
              <w:bottom w:w="85" w:type="dxa"/>
              <w:left w:w="100" w:type="dxa"/>
              <w:right w:w="100" w:type="dxa"/>
            </w:tcMar>
          </w:tcPr>
          <w:p>
            <w:pPr>
              <w:spacing w:after="0" w:line="252" w:lineRule="auto"/>
            </w:pPr>
            <w:r>
              <w:rPr>
                <w:b w:val="0"/>
                <w:color w:val="000000"/>
                <w:sz w:val="19"/>
              </w:rPr>
              <w:t>Fuentes</w:t>
            </w:r>
          </w:p>
        </w:tc>
        <w:tc>
          <w:tcPr>
            <w:tcW w:type="dxa" w:w="7632"/>
            <w:vAlign w:val="center"/>
            <w:shd w:fill="F3F6F9"/>
            <w:tcMar>
              <w:top w:w="85" w:type="dxa"/>
              <w:bottom w:w="85" w:type="dxa"/>
              <w:left w:w="100" w:type="dxa"/>
              <w:right w:w="100" w:type="dxa"/>
            </w:tcMar>
          </w:tcPr>
          <w:p>
            <w:pPr>
              <w:spacing w:after="0" w:line="252" w:lineRule="auto"/>
            </w:pPr>
            <w:r>
              <w:rPr>
                <w:b w:val="0"/>
                <w:color w:val="000000"/>
                <w:sz w:val="19"/>
              </w:rPr>
              <w:t>Estado real de los seis RSS, última consulta y actualización manual.</w:t>
            </w:r>
          </w:p>
        </w:tc>
      </w:tr>
      <w:tr>
        <w:trPr>
          <w:cantSplit/>
        </w:trPr>
        <w:tc>
          <w:tcPr>
            <w:tcW w:type="dxa" w:w="1728"/>
            <w:vAlign w:val="center"/>
            <w:shd w:fill="FFFFFF"/>
            <w:tcMar>
              <w:top w:w="85" w:type="dxa"/>
              <w:bottom w:w="85" w:type="dxa"/>
              <w:left w:w="100" w:type="dxa"/>
              <w:right w:w="100" w:type="dxa"/>
            </w:tcMar>
          </w:tcPr>
          <w:p>
            <w:pPr>
              <w:spacing w:after="0" w:line="252" w:lineRule="auto"/>
            </w:pPr>
            <w:r>
              <w:rPr>
                <w:b w:val="0"/>
                <w:color w:val="000000"/>
                <w:sz w:val="19"/>
              </w:rPr>
              <w:t>Borrador</w:t>
            </w:r>
          </w:p>
        </w:tc>
        <w:tc>
          <w:tcPr>
            <w:tcW w:type="dxa" w:w="7632"/>
            <w:vAlign w:val="center"/>
            <w:shd w:fill="FFFFFF"/>
            <w:tcMar>
              <w:top w:w="85" w:type="dxa"/>
              <w:bottom w:w="85" w:type="dxa"/>
              <w:left w:w="100" w:type="dxa"/>
              <w:right w:w="100" w:type="dxa"/>
            </w:tcMar>
          </w:tcPr>
          <w:p>
            <w:pPr>
              <w:spacing w:after="0" w:line="252" w:lineRule="auto"/>
            </w:pPr>
            <w:r>
              <w:rPr>
                <w:b w:val="0"/>
                <w:color w:val="000000"/>
                <w:sz w:val="19"/>
              </w:rPr>
              <w:t>Asunto y cuerpo editables, copiar y descargar TXT.</w:t>
            </w:r>
          </w:p>
        </w:tc>
      </w:tr>
    </w:tbl>
    <w:p>
      <w:pPr>
        <w:spacing w:after="0"/>
      </w:pPr>
    </w:p>
    <w:p>
      <w:pPr>
        <w:pStyle w:val="Heading2"/>
      </w:pPr>
      <w:r>
        <w:t>Sistema visual</w:t>
      </w:r>
    </w:p>
    <w:p>
      <w:r>
        <w:t>Fondo #F8FAFF; superficie #FFFFFF; lavanda #F3F0FF; texto #0A2540; acento #635BFF y cian #2BB9E8. Tipografía Inter o system-ui; tarjetas de radio 14 px, espaciado en múltiplos de cuatro y sombras suaves. Rojo identifica urgencia; ámbar revisión; verde recuperación. Todo estado lleva texto o icono además de color.</w:t>
      </w:r>
    </w:p>
    <w:p>
      <w:pPr>
        <w:pStyle w:val="Heading2"/>
      </w:pPr>
      <w:r>
        <w:t>Escritorio y móvil</w:t>
      </w:r>
    </w:p>
    <w:p>
      <w:r>
        <w:t>Escritorio usa sidebar y barra superior con contexto, última actualización, búsqueda y sonido. Móvil usa navegación inferior Resumen, Noticias, Alertas y Más. El ranking se convierte en tarjetas legibles; filtros en panel y ficha de una columna. El borrador puede ocupar toda la pantalla.</w:t>
      </w:r>
    </w:p>
    <w:p>
      <w:pPr>
        <w:pStyle w:val="ListBullet"/>
      </w:pPr>
      <w:r>
        <w:t>Verificar 360, 390, 768 y 1440 px sin scroll horizontal del viewport. Controles táctiles de al menos 44 px.</w:t>
      </w:r>
    </w:p>
    <w:p>
      <w:pPr>
        <w:pStyle w:val="ListBullet"/>
      </w:pPr>
      <w:r>
        <w:t>Foco visible, navegación por teclado, diálogos que restituyen foco, gráficos con alternativa textual y contraste AA.</w:t>
      </w:r>
    </w:p>
    <w:p>
      <w:pPr>
        <w:pStyle w:val="ListBullet"/>
      </w:pPr>
      <w:r>
        <w:t>Respetar prefers-reduced-motion. Animaciones breves que no desplacen contenido mientras se lee.</w:t>
      </w:r>
    </w:p>
    <w:p>
      <w:pPr>
        <w:pStyle w:val="Heading2"/>
      </w:pPr>
      <w:r>
        <w:t>Estados obligatorios</w:t>
      </w:r>
    </w:p>
    <w:p>
      <w:r>
        <w:t>Diseñar vacío, cargando, parcial, error, motor sin configurar, revisión y recuperado. Usar Inventario no aplicable, Inventario no informado, Productos no mapeados y Alternativo aprobado, stock sin confirmar. No presentar un dato desconocido como estado seguro.</w:t>
      </w:r>
    </w:p>
    <w:p>
      <w:r>
        <w:br w:type="page"/>
      </w:r>
    </w:p>
    <w:p>
      <w:pPr>
        <w:pStyle w:val="Heading1"/>
      </w:pPr>
      <w:r>
        <w:t>Alarmas y acciones en el navegador</w:t>
      </w:r>
    </w:p>
    <w:p>
      <w:pPr>
        <w:pStyle w:val="Heading2"/>
      </w:pPr>
      <w:r>
        <w:t>Activación y entrega del sonido</w:t>
      </w:r>
    </w:p>
    <w:p>
      <w:r>
        <w:t>Activar sonido crea o reanuda AudioContext dentro del clic del usuario. Probar alarma reproduce un tono corto sin crear incidente. Silenciar afecta al audio local. La preferencia guardada no demuestra que el navegador permita sonido después de recargar; mostrar el estado real. Referencias S10 y S11.</w:t>
      </w:r>
    </w:p>
    <w:p>
      <w:r>
        <w:t>Una alerta nueva elegible emite un tono de aproximadamente un segundo, una sola vez por revisión y pestaña. Guardar revisiones avisadas en sessionStorage. Aplicar cooldown global de 30 segundos y agrupar las llegadas próximas sin perder tarjetas. No reproducir el historial completo al abrir el dashboard.</w:t>
      </w:r>
    </w:p>
    <w:p>
      <w:r>
        <w:t>Actualizar el título de la pestaña con alertas sin leer. Al recuperar foco, sincronizar novedades y como máximo emitir un aviso agrupado. Si el navegador bloquea sonido, conservar el aviso visual y mostrar cómo activarlo.</w:t>
      </w:r>
    </w:p>
    <w:p>
      <w:r>
        <w:t>El objetivo verificable es una página activa en Chrome o Edge de escritorio y Safari o Chrome móvil, con audio habilitado. No se garantiza sonido con pestaña cerrada, teléfono bloqueado, navegador suspendido o dispositivo silenciado. El ensayo debe comprobar audibilidad real; una prueba de navegador solo valida la lógica.</w:t>
      </w:r>
    </w:p>
    <w:p>
      <w:pPr>
        <w:pStyle w:val="Heading2"/>
      </w:pPr>
      <w:r>
        <w:t>Explicaciones y borradores</w:t>
      </w:r>
    </w:p>
    <w:p>
      <w:r>
        <w:t>La explicación básica usa hechos validados: evento, frase fuente, motivo del vínculo y factores del score. Un generador opcional puede redactar hasta 100 palabras o mejorar un borrador, conservando dudas y referencias. Si falla, permanece la plantilla. No modifica riesgo, urgencia ni prioridad.</w:t>
      </w:r>
    </w:p>
    <w:p>
      <w:r>
        <w:t>El borrador al proveedor pregunta por impacto en entregas, pedidos afectados, recuperación y medidas de continuidad. El del alternativo pide disponibilidad, capacidad adicional, lead time y condiciones. Solo aparece cuando hay un alternativo aprobado. No inventar contactos, stock, cantidades o compromisos de compra.</w:t>
      </w:r>
    </w:p>
    <w:p>
      <w:r>
        <w:t>El usuario edita, copia o descarga TXT. No se envían correos ni mensajes externos. Guardar el borrador con el hash de evidencia; si cambia, indicarlo antes de reutilizarlo.</w:t>
      </w:r>
    </w:p>
    <w:p>
      <w:pPr>
        <w:pStyle w:val="Heading2"/>
      </w:pPr>
      <w:r>
        <w:t>Acceso de presentador</w:t>
      </w:r>
    </w:p>
    <w:p>
      <w:r>
        <w:t>La URL pública permite consulta sin registro. Cargas, análisis, sincronización manual, cambios y borradores requieren sesión de presentador. Usar contraseña compartida de demo y cookie HttpOnly, Secure y SameSite, protección CSRF y límite de login. La activación de audio es local y está disponible al visitante.</w:t>
      </w:r>
    </w:p>
    <w:p>
      <w:r>
        <w:t>Claves y etiquetas de evaluación permanecen fuera del frontend. El contenido de noticias se trata como datos: no puede cambiar instrucciones, herramientas o URLs de integración.</w:t>
      </w:r>
    </w:p>
    <w:p>
      <w:r>
        <w:br w:type="page"/>
      </w:r>
    </w:p>
    <w:p>
      <w:pPr>
        <w:pStyle w:val="Heading1"/>
      </w:pPr>
      <w:r>
        <w:t>Despliegue en Railway</w:t>
      </w:r>
    </w:p>
    <w:p>
      <w:r>
        <w:t>La arquitectura propuesta es adecuada para una demo pública: la inferencia ocurre en TypeSafe y Railway ejecuta la web, el worker y PostgreSQL. No se necesita alojar un modelo local. El coste depende del plan, recursos y llamadas reales; se fija un presupuesto y se mide el uso. Referencias S12 a S20.</w:t>
      </w:r>
    </w:p>
    <w:p>
      <w:pPr>
        <w:pStyle w:val="Heading2"/>
      </w:pPr>
      <w:r>
        <w:t>Artefactos que debe crear Codex</w:t>
      </w:r>
    </w:p>
    <w:p>
      <w:pPr>
        <w:pStyle w:val="ListBullet"/>
      </w:pPr>
      <w:r>
        <w:t>Dockerfile multietapa que compile React e incluya FastAPI, con usuario sin privilegios y dependencias fijadas.</w:t>
      </w:r>
    </w:p>
    <w:p>
      <w:pPr>
        <w:pStyle w:val="ListBullet"/>
      </w:pPr>
      <w:r>
        <w:t>Migraciones Alembic, lockfiles, comandos locales, .env.example y README de operación.</w:t>
      </w:r>
    </w:p>
    <w:p>
      <w:pPr>
        <w:pStyle w:val="ListBullet"/>
      </w:pPr>
      <w:r>
        <w:t>railway.web.json y railway.worker.json basados en config, ajustados a los módulos reales construidos.</w:t>
      </w:r>
    </w:p>
    <w:p>
      <w:pPr>
        <w:pStyle w:val="Heading2"/>
      </w:pPr>
      <w:r>
        <w:t>Secuencia de puesta en marcha</w:t>
      </w:r>
    </w:p>
    <w:p>
      <w:pPr>
        <w:pStyle w:val="ListNumber"/>
      </w:pPr>
      <w:r>
        <w:t>Construir y probar la imagen localmente. Crear proyecto Railway con PostgreSQL.</w:t>
      </w:r>
    </w:p>
    <w:p>
      <w:pPr>
        <w:pStyle w:val="ListNumber"/>
      </w:pPr>
      <w:r>
        <w:t>Crear web desde el repositorio y elegir su archivo de configuración. Vincular DATABASE_URL por referencia al servicio de base de datos.</w:t>
      </w:r>
    </w:p>
    <w:p>
      <w:pPr>
        <w:pStyle w:val="ListNumber"/>
      </w:pPr>
      <w:r>
        <w:t>Configurar TYPESAFE_API_KEY, JEV_MODEL, ADMIN_PASSWORD y SESSION_SECRET. El backend escucha 0.0.0.0 y PORT.</w:t>
      </w:r>
    </w:p>
    <w:p>
      <w:pPr>
        <w:pStyle w:val="ListNumber"/>
      </w:pPr>
      <w:r>
        <w:t>Ejecutar alembic upgrade head como pre-deploy solo en web. El worker espera el esquema y no compite por migraciones.</w:t>
      </w:r>
    </w:p>
    <w:p>
      <w:pPr>
        <w:pStyle w:val="ListNumber"/>
      </w:pPr>
      <w:r>
        <w:t>Crear worker con la misma imagen y python -m app.worker, variables propias y sin dominio público. Mantenerlo activo para la demo.</w:t>
      </w:r>
    </w:p>
    <w:p>
      <w:pPr>
        <w:pStyle w:val="ListNumber"/>
      </w:pPr>
      <w:r>
        <w:t>Generar dominio HTTPS para web y fijar APP_BASE_URL. Verificar /readyz y navegación directa a una ficha.</w:t>
      </w:r>
    </w:p>
    <w:p>
      <w:pPr>
        <w:pStyle w:val="ListNumber"/>
      </w:pPr>
      <w:r>
        <w:t>Importar catálogo de forma idempotente. Probar JEV real, RSS, borrador y exportación; repetir comprobación de persistencia tras redeploy.</w:t>
      </w:r>
    </w:p>
    <w:p>
      <w:pPr>
        <w:pStyle w:val="Heading2"/>
      </w:pPr>
      <w:r>
        <w:t>Persistencia y operación</w:t>
      </w:r>
    </w:p>
    <w:p>
      <w:r>
        <w:t>El filesystem de los contenedores es efímero. Excel se procesa temporalmente y sus filas y hash se guardan en PostgreSQL. Las exportaciones se regeneran desde la base. Trabajos, artículos, incidentes, alertas y borradores deben sobrevivir a un redeploy. Si se necesita conservar originales, incorporar almacenamiento persistente explícito.</w:t>
      </w:r>
    </w:p>
    <w:p>
      <w:r>
        <w:t>La salud de JEV y RSS se muestra por separado; un fallo externo no provoca reinicios continuos de la web. Registrar job, batch, tiempos, HTTP e intentos sin secretos. Comprobar recuperación de leases tras reinicio del worker.</w:t>
      </w:r>
    </w:p>
    <w:p>
      <w:r>
        <w:t>Si faltan accesos, Codex completa el código y deja pasos concretos pendientes. El kit no incluye credenciales ni acredita llamadas autenticadas o una URL ya publicada.</w:t>
      </w:r>
    </w:p>
    <w:p>
      <w:r>
        <w:br w:type="page"/>
      </w:r>
    </w:p>
    <w:p>
      <w:pPr>
        <w:pStyle w:val="Heading1"/>
      </w:pPr>
      <w:r>
        <w:t>Aceptación de datos y decisiones</w:t>
      </w:r>
    </w:p>
    <w:p>
      <w:r>
        <w:t>Estos criterios son bloqueantes. Codex debe entregar estado pasa, falla o no ejecutado con evidencia. Las pruebas de referencia del kit verifican la política y la construcción de peticiones; la aplicación necesita además integración y E2E.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872"/>
        <w:gridCol w:w="6768"/>
      </w:tblGrid>
      <w:tr>
        <w:trPr>
          <w:cantSplit/>
          <w:tblHeader/>
        </w:trPr>
        <w:tc>
          <w:tcPr>
            <w:tcW w:type="dxa" w:w="720"/>
            <w:vAlign w:val="center"/>
            <w:shd w:fill="18344F"/>
            <w:tcMar>
              <w:top w:w="85" w:type="dxa"/>
              <w:bottom w:w="85" w:type="dxa"/>
              <w:left w:w="100" w:type="dxa"/>
              <w:right w:w="100" w:type="dxa"/>
            </w:tcMar>
          </w:tcPr>
          <w:p>
            <w:pPr>
              <w:spacing w:after="0" w:line="252" w:lineRule="auto"/>
              <w:jc w:val="center"/>
            </w:pPr>
            <w:r>
              <w:rPr>
                <w:b/>
                <w:color w:val="FFFFFF"/>
                <w:sz w:val="19"/>
              </w:rPr>
              <w:t>ID</w:t>
            </w:r>
          </w:p>
        </w:tc>
        <w:tc>
          <w:tcPr>
            <w:tcW w:type="dxa" w:w="1872"/>
            <w:vAlign w:val="center"/>
            <w:shd w:fill="18344F"/>
            <w:tcMar>
              <w:top w:w="85" w:type="dxa"/>
              <w:bottom w:w="85" w:type="dxa"/>
              <w:left w:w="100" w:type="dxa"/>
              <w:right w:w="100" w:type="dxa"/>
            </w:tcMar>
          </w:tcPr>
          <w:p>
            <w:pPr>
              <w:spacing w:after="0" w:line="252" w:lineRule="auto"/>
            </w:pPr>
            <w:r>
              <w:rPr>
                <w:b/>
                <w:color w:val="FFFFFF"/>
                <w:sz w:val="19"/>
              </w:rPr>
              <w:t>Prueba</w:t>
            </w:r>
          </w:p>
        </w:tc>
        <w:tc>
          <w:tcPr>
            <w:tcW w:type="dxa" w:w="6768"/>
            <w:vAlign w:val="center"/>
            <w:shd w:fill="18344F"/>
            <w:tcMar>
              <w:top w:w="85" w:type="dxa"/>
              <w:bottom w:w="85" w:type="dxa"/>
              <w:left w:w="100" w:type="dxa"/>
              <w:right w:w="100" w:type="dxa"/>
            </w:tcMar>
          </w:tcPr>
          <w:p>
            <w:pPr>
              <w:spacing w:after="0" w:line="252" w:lineRule="auto"/>
            </w:pPr>
            <w:r>
              <w:rPr>
                <w:b/>
                <w:color w:val="FFFFFF"/>
                <w:sz w:val="19"/>
              </w:rPr>
              <w:t>Resultado exigido</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A01</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Catálogo</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40 proveedores, 20 materiales y seis productos; todos los proveedores participan.</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A02</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Cuatro esquemas</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Reconoce News, News_Validation, News_Test y News_Feed sin editar el archivo.</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A03</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Aislamiento</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El payload de inferencia no contiene etiquetas ni answer key.</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A04</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Homónimo</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No atribuye automáticamente un evento por una palabra coincidente.</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A05</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Noticia positiva</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Conserva proveedor identificado con riesgo N y urgencia N.</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A06</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Exposición regional</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Permite varios proveedores y respeta lugar, material y alcance.</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A07</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Duplicación</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Agrupa la misma evidencia sin sumar scores; mantiene incidentes distintos.</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A08</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Recuperación</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Cierra solo el incidente compatible, conservando historial y orden temporal.</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A09</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Inventario</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Distingue nulo no aplicable, físico desconocido y cero real.</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A10</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Prioridad</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Acotada, explicable, sin doble fuente única y separada de confidence.</w:t>
            </w:r>
          </w:p>
        </w:tc>
      </w:tr>
    </w:tbl>
    <w:p>
      <w:pPr>
        <w:spacing w:after="0"/>
      </w:pPr>
    </w:p>
    <w:p>
      <w:pPr>
        <w:pStyle w:val="Heading2"/>
      </w:pPr>
      <w:r>
        <w:t>Evaluación del clasificador</w:t>
      </w:r>
    </w:p>
    <w:p>
      <w:r>
        <w:t>Medir precision, recall y F1 por separado para riesgo y urgencia, además de matrices de confusión. Para proveedores, medir coincidencia exacta del conjunto y precision/recall por ID, incluyendo noticias positivas. Presentar denominadores: 30 noticias de entrenamiento, 10 de validación y siete urgentes etiquetadas entre ambas.</w:t>
      </w:r>
    </w:p>
    <w:p>
      <w:r>
        <w:t>Congelar versión antes de evaluar validación. Si se usa repetidamente para seleccionar versiones, registrar que deja de ser una prueba independiente. Nunca usar test o LiveDay para escoger umbrales. Las métricas de la aplicación no se inventan ni se deducen del marketing del modelo.</w:t>
      </w:r>
    </w:p>
    <w:p>
      <w:pPr>
        <w:pStyle w:val="Heading2"/>
      </w:pPr>
      <w:r>
        <w:t>Exportación y revisión</w:t>
      </w:r>
    </w:p>
    <w:p>
      <w:r>
        <w:t>Un análisis procesado de baja confianza puede exportar su mejor decisión binaria con revisión pendiente registrada. Un error de IA o una fila sin procesar bloquean la exportación final hasta reintento o resolución manual explícita. Un batch debe conservar el orden original y no mezclar RSS o fixtures.</w:t>
      </w:r>
    </w:p>
    <w:p>
      <w:r>
        <w:br w:type="page"/>
      </w:r>
    </w:p>
    <w:p>
      <w:pPr>
        <w:pStyle w:val="Heading1"/>
      </w:pPr>
      <w:r>
        <w:t>Aceptación de la demo pública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872"/>
        <w:gridCol w:w="6768"/>
      </w:tblGrid>
      <w:tr>
        <w:trPr>
          <w:cantSplit/>
          <w:tblHeader/>
        </w:trPr>
        <w:tc>
          <w:tcPr>
            <w:tcW w:type="dxa" w:w="720"/>
            <w:vAlign w:val="center"/>
            <w:shd w:fill="18344F"/>
            <w:tcMar>
              <w:top w:w="85" w:type="dxa"/>
              <w:bottom w:w="85" w:type="dxa"/>
              <w:left w:w="100" w:type="dxa"/>
              <w:right w:w="100" w:type="dxa"/>
            </w:tcMar>
          </w:tcPr>
          <w:p>
            <w:pPr>
              <w:spacing w:after="0" w:line="252" w:lineRule="auto"/>
              <w:jc w:val="center"/>
            </w:pPr>
            <w:r>
              <w:rPr>
                <w:b/>
                <w:color w:val="FFFFFF"/>
                <w:sz w:val="19"/>
              </w:rPr>
              <w:t>ID</w:t>
            </w:r>
          </w:p>
        </w:tc>
        <w:tc>
          <w:tcPr>
            <w:tcW w:type="dxa" w:w="1872"/>
            <w:vAlign w:val="center"/>
            <w:shd w:fill="18344F"/>
            <w:tcMar>
              <w:top w:w="85" w:type="dxa"/>
              <w:bottom w:w="85" w:type="dxa"/>
              <w:left w:w="100" w:type="dxa"/>
              <w:right w:w="100" w:type="dxa"/>
            </w:tcMar>
          </w:tcPr>
          <w:p>
            <w:pPr>
              <w:spacing w:after="0" w:line="252" w:lineRule="auto"/>
            </w:pPr>
            <w:r>
              <w:rPr>
                <w:b/>
                <w:color w:val="FFFFFF"/>
                <w:sz w:val="19"/>
              </w:rPr>
              <w:t>Prueba</w:t>
            </w:r>
          </w:p>
        </w:tc>
        <w:tc>
          <w:tcPr>
            <w:tcW w:type="dxa" w:w="6768"/>
            <w:vAlign w:val="center"/>
            <w:shd w:fill="18344F"/>
            <w:tcMar>
              <w:top w:w="85" w:type="dxa"/>
              <w:bottom w:w="85" w:type="dxa"/>
              <w:left w:w="100" w:type="dxa"/>
              <w:right w:w="100" w:type="dxa"/>
            </w:tcMar>
          </w:tcPr>
          <w:p>
            <w:pPr>
              <w:spacing w:after="0" w:line="252" w:lineRule="auto"/>
            </w:pPr>
            <w:r>
              <w:rPr>
                <w:b/>
                <w:color w:val="FFFFFF"/>
                <w:sz w:val="19"/>
              </w:rPr>
              <w:t>Resultado exigido</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A11</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RSS real</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Seis configurados; al menos cuatro devuelven contenido desde Railway en el ensayo.</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A12</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RSS actualizado</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Mismo contenido no duplica; nuevo texto bajo el mismo GUID crea versión.</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A13</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Fallo de JEV</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401 diagnosticado, 429 acotado y ningún error convertido en N.</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A14</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Audio</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Activar, probar, nueva alerta, una vez por revisión y mute; sin alarma histórica.</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A15</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Borradores</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Consulta y alternativo editables, copiables y descargables; sin envíos.</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A16</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Exportación</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Una fila por entrada; IDs, flags y separador correctos.</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A17</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Persistencia</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Redeploy conserva datos, cursores RSS y trabajos recuperables.</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A18</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Acceso público</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HTTPS sin registro; mutaciones protegidas y secretos fuera del frontend.</w:t>
            </w:r>
          </w:p>
        </w:tc>
      </w:tr>
      <w:tr>
        <w:trPr>
          <w:cantSplit/>
        </w:trPr>
        <w:tc>
          <w:tcPr>
            <w:tcW w:type="dxa" w:w="720"/>
            <w:vAlign w:val="center"/>
            <w:shd w:fill="FFFFFF"/>
            <w:tcMar>
              <w:top w:w="85" w:type="dxa"/>
              <w:bottom w:w="85" w:type="dxa"/>
              <w:left w:w="100" w:type="dxa"/>
              <w:right w:w="100" w:type="dxa"/>
            </w:tcMar>
          </w:tcPr>
          <w:p>
            <w:pPr>
              <w:spacing w:after="0" w:line="252" w:lineRule="auto"/>
              <w:jc w:val="center"/>
            </w:pPr>
            <w:r>
              <w:rPr>
                <w:b w:val="0"/>
                <w:color w:val="000000"/>
                <w:sz w:val="19"/>
              </w:rPr>
              <w:t>A19</w:t>
            </w:r>
          </w:p>
        </w:tc>
        <w:tc>
          <w:tcPr>
            <w:tcW w:type="dxa" w:w="1872"/>
            <w:vAlign w:val="center"/>
            <w:shd w:fill="FFFFFF"/>
            <w:tcMar>
              <w:top w:w="85" w:type="dxa"/>
              <w:bottom w:w="85" w:type="dxa"/>
              <w:left w:w="100" w:type="dxa"/>
              <w:right w:w="100" w:type="dxa"/>
            </w:tcMar>
          </w:tcPr>
          <w:p>
            <w:pPr>
              <w:spacing w:after="0" w:line="252" w:lineRule="auto"/>
            </w:pPr>
            <w:r>
              <w:rPr>
                <w:b w:val="0"/>
                <w:color w:val="000000"/>
                <w:sz w:val="19"/>
              </w:rPr>
              <w:t>Responsive</w:t>
            </w:r>
          </w:p>
        </w:tc>
        <w:tc>
          <w:tcPr>
            <w:tcW w:type="dxa" w:w="6768"/>
            <w:vAlign w:val="center"/>
            <w:shd w:fill="FFFFFF"/>
            <w:tcMar>
              <w:top w:w="85" w:type="dxa"/>
              <w:bottom w:w="85" w:type="dxa"/>
              <w:left w:w="100" w:type="dxa"/>
              <w:right w:w="100" w:type="dxa"/>
            </w:tcMar>
          </w:tcPr>
          <w:p>
            <w:pPr>
              <w:spacing w:after="0" w:line="252" w:lineRule="auto"/>
            </w:pPr>
            <w:r>
              <w:rPr>
                <w:b w:val="0"/>
                <w:color w:val="000000"/>
                <w:sz w:val="19"/>
              </w:rPr>
              <w:t>360, 390, 768 y 1440 px utilizables; controles accesibles y sin overflow.</w:t>
            </w:r>
          </w:p>
        </w:tc>
      </w:tr>
      <w:tr>
        <w:trPr>
          <w:cantSplit/>
        </w:trPr>
        <w:tc>
          <w:tcPr>
            <w:tcW w:type="dxa" w:w="720"/>
            <w:vAlign w:val="center"/>
            <w:shd w:fill="F3F6F9"/>
            <w:tcMar>
              <w:top w:w="85" w:type="dxa"/>
              <w:bottom w:w="85" w:type="dxa"/>
              <w:left w:w="100" w:type="dxa"/>
              <w:right w:w="100" w:type="dxa"/>
            </w:tcMar>
          </w:tcPr>
          <w:p>
            <w:pPr>
              <w:spacing w:after="0" w:line="252" w:lineRule="auto"/>
              <w:jc w:val="center"/>
            </w:pPr>
            <w:r>
              <w:rPr>
                <w:b w:val="0"/>
                <w:color w:val="000000"/>
                <w:sz w:val="19"/>
              </w:rPr>
              <w:t>A20</w:t>
            </w:r>
          </w:p>
        </w:tc>
        <w:tc>
          <w:tcPr>
            <w:tcW w:type="dxa" w:w="1872"/>
            <w:vAlign w:val="center"/>
            <w:shd w:fill="F3F6F9"/>
            <w:tcMar>
              <w:top w:w="85" w:type="dxa"/>
              <w:bottom w:w="85" w:type="dxa"/>
              <w:left w:w="100" w:type="dxa"/>
              <w:right w:w="100" w:type="dxa"/>
            </w:tcMar>
          </w:tcPr>
          <w:p>
            <w:pPr>
              <w:spacing w:after="0" w:line="252" w:lineRule="auto"/>
            </w:pPr>
            <w:r>
              <w:rPr>
                <w:b w:val="0"/>
                <w:color w:val="000000"/>
                <w:sz w:val="19"/>
              </w:rPr>
              <w:t>Tiempo</w:t>
            </w:r>
          </w:p>
        </w:tc>
        <w:tc>
          <w:tcPr>
            <w:tcW w:type="dxa" w:w="6768"/>
            <w:vAlign w:val="center"/>
            <w:shd w:fill="F3F6F9"/>
            <w:tcMar>
              <w:top w:w="85" w:type="dxa"/>
              <w:bottom w:w="85" w:type="dxa"/>
              <w:left w:w="100" w:type="dxa"/>
              <w:right w:w="100" w:type="dxa"/>
            </w:tcMar>
          </w:tcPr>
          <w:p>
            <w:pPr>
              <w:spacing w:after="0" w:line="252" w:lineRule="auto"/>
            </w:pPr>
            <w:r>
              <w:rPr>
                <w:b w:val="0"/>
                <w:color w:val="000000"/>
                <w:sz w:val="19"/>
              </w:rPr>
              <w:t>14 artículos y exportación disponibles en un máximo de 300 segundos medidos.</w:t>
            </w:r>
          </w:p>
        </w:tc>
      </w:tr>
    </w:tbl>
    <w:p>
      <w:pPr>
        <w:spacing w:after="0"/>
      </w:pPr>
    </w:p>
    <w:p>
      <w:pPr>
        <w:pStyle w:val="Heading2"/>
      </w:pPr>
      <w:r>
        <w:t>Pruebas de integración</w:t>
      </w:r>
    </w:p>
    <w:p>
      <w:r>
        <w:t>Probar respuestas JEV válidas, JSON incompleto y errores 401, 429 y 529; RSS/Atom, 304, repetición, edición y XML inválido; dos reclamadores de cola y recuperación de lease. La etapa B debe agrupar varios proveedores en una petición. Las fixtures están marcadas y no son respuestas del reto.</w:t>
      </w:r>
    </w:p>
    <w:p>
      <w:pPr>
        <w:pStyle w:val="Heading2"/>
      </w:pPr>
      <w:r>
        <w:t>Ensayo de navegador</w:t>
      </w:r>
    </w:p>
    <w:p>
      <w:r>
        <w:t>Recorrer acceso de presentador, upload, progreso, filtro, ficha, evidencia, borrador, alerta y exportación. Revisar capturas de móvil y escritorio y navegar con teclado. El ensayo físico de audio indica dispositivo y navegador; no afirmar audibilidad por pasar Playwright.</w:t>
      </w:r>
    </w:p>
    <w:p>
      <w:pPr>
        <w:pStyle w:val="Heading2"/>
      </w:pPr>
      <w:r>
        <w:t>Informe de entrega</w:t>
      </w:r>
    </w:p>
    <w:p>
      <w:r>
        <w:t>Incluir URL real, versión o commit, servicios, variables por nombre, comandos de operación, RSS consultados desde Railway, tiempo total del lote, métricas con denominadores, dispositivos revisados y pruebas pendientes. Un proveedor externo caído se muestra como tal. Si quedan menos de cuatro RSS disponibles, reponer una fuente verificada antes de la presentación.</w:t>
      </w:r>
    </w:p>
    <w:p>
      <w:r>
        <w:br w:type="page"/>
      </w:r>
    </w:p>
    <w:p>
      <w:pPr>
        <w:pStyle w:val="Heading1"/>
      </w:pPr>
      <w:r>
        <w:t>Ejecución con Codex y presentación</w:t>
      </w:r>
    </w:p>
    <w:p>
      <w:pPr>
        <w:pStyle w:val="Heading2"/>
      </w:pPr>
      <w:r>
        <w:t>Orden de implementación</w:t>
      </w:r>
    </w:p>
    <w:p>
      <w:r>
        <w:t>1. Datos y aplicación básica. 2. JEV y exportación. 3. RSS y evolución de eventos. 4. Alertas, borradores y diseño. 5. Railway y ensayo. Cada entrega mantiene un flujo ejecutable y se prueba antes de avanzar. RSS permanece obligatorio para cerrar el proyecto.</w:t>
      </w:r>
    </w:p>
    <w:p>
      <w:r>
        <w:t>El prompt maestro inicia el trabajo. prompts/01_IMPLEMENTACION_POR_ETAPAS.md permite continuarlo; prompts/02_DISENO_UI.md dirige el acabado visual; prompts/03_AUDITORIA_Y_ENTREGA.md verifica y corrige; prompts/04_TEXTOS_Y_BORRADORES.md define la redacción opcional.</w:t>
      </w:r>
    </w:p>
    <w:p>
      <w:pPr>
        <w:pStyle w:val="Heading2"/>
      </w:pPr>
      <w:r>
        <w:t>Guion orientativo de cinco minutos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7848"/>
      </w:tblGrid>
      <w:tr>
        <w:trPr>
          <w:cantSplit/>
          <w:tblHeader/>
        </w:trPr>
        <w:tc>
          <w:tcPr>
            <w:tcW w:type="dxa" w:w="1512"/>
            <w:vAlign w:val="center"/>
            <w:shd w:fill="18344F"/>
            <w:tcMar>
              <w:top w:w="85" w:type="dxa"/>
              <w:bottom w:w="85" w:type="dxa"/>
              <w:left w:w="100" w:type="dxa"/>
              <w:right w:w="100" w:type="dxa"/>
            </w:tcMar>
          </w:tcPr>
          <w:p>
            <w:pPr>
              <w:spacing w:after="0" w:line="252" w:lineRule="auto"/>
            </w:pPr>
            <w:r>
              <w:rPr>
                <w:b/>
                <w:color w:val="FFFFFF"/>
                <w:sz w:val="19"/>
              </w:rPr>
              <w:t>Tiempo</w:t>
            </w:r>
          </w:p>
        </w:tc>
        <w:tc>
          <w:tcPr>
            <w:tcW w:type="dxa" w:w="7848"/>
            <w:vAlign w:val="center"/>
            <w:shd w:fill="18344F"/>
            <w:tcMar>
              <w:top w:w="85" w:type="dxa"/>
              <w:bottom w:w="85" w:type="dxa"/>
              <w:left w:w="100" w:type="dxa"/>
              <w:right w:w="100" w:type="dxa"/>
            </w:tcMar>
          </w:tcPr>
          <w:p>
            <w:pPr>
              <w:spacing w:after="0" w:line="252" w:lineRule="auto"/>
            </w:pPr>
            <w:r>
              <w:rPr>
                <w:b/>
                <w:color w:val="FFFFFF"/>
                <w:sz w:val="19"/>
              </w:rPr>
              <w:t>Acción</w:t>
            </w:r>
          </w:p>
        </w:tc>
      </w:tr>
      <w:tr>
        <w:trPr>
          <w:cantSplit/>
        </w:trPr>
        <w:tc>
          <w:tcPr>
            <w:tcW w:type="dxa" w:w="1512"/>
            <w:vAlign w:val="center"/>
            <w:shd w:fill="FFFFFF"/>
            <w:tcMar>
              <w:top w:w="85" w:type="dxa"/>
              <w:bottom w:w="85" w:type="dxa"/>
              <w:left w:w="100" w:type="dxa"/>
              <w:right w:w="100" w:type="dxa"/>
            </w:tcMar>
          </w:tcPr>
          <w:p>
            <w:pPr>
              <w:spacing w:after="0" w:line="252" w:lineRule="auto"/>
            </w:pPr>
            <w:r>
              <w:rPr>
                <w:b w:val="0"/>
                <w:color w:val="000000"/>
                <w:sz w:val="19"/>
              </w:rPr>
              <w:t>Antes</w:t>
            </w:r>
          </w:p>
        </w:tc>
        <w:tc>
          <w:tcPr>
            <w:tcW w:type="dxa" w:w="7848"/>
            <w:vAlign w:val="center"/>
            <w:shd w:fill="FFFFFF"/>
            <w:tcMar>
              <w:top w:w="85" w:type="dxa"/>
              <w:bottom w:w="85" w:type="dxa"/>
              <w:left w:w="100" w:type="dxa"/>
              <w:right w:w="100" w:type="dxa"/>
            </w:tcMar>
          </w:tcPr>
          <w:p>
            <w:pPr>
              <w:spacing w:after="0" w:line="252" w:lineRule="auto"/>
            </w:pPr>
            <w:r>
              <w:rPr>
                <w:b w:val="0"/>
                <w:color w:val="000000"/>
                <w:sz w:val="19"/>
              </w:rPr>
              <w:t>Verificar motor, worker y RSS. Entrar como presentador, activar sonido y probar alarma.</w:t>
            </w:r>
          </w:p>
        </w:tc>
      </w:tr>
      <w:tr>
        <w:trPr>
          <w:cantSplit/>
        </w:trPr>
        <w:tc>
          <w:tcPr>
            <w:tcW w:type="dxa" w:w="1512"/>
            <w:vAlign w:val="center"/>
            <w:shd w:fill="F3F6F9"/>
            <w:tcMar>
              <w:top w:w="85" w:type="dxa"/>
              <w:bottom w:w="85" w:type="dxa"/>
              <w:left w:w="100" w:type="dxa"/>
              <w:right w:w="100" w:type="dxa"/>
            </w:tcMar>
          </w:tcPr>
          <w:p>
            <w:pPr>
              <w:spacing w:after="0" w:line="252" w:lineRule="auto"/>
            </w:pPr>
            <w:r>
              <w:rPr>
                <w:b w:val="0"/>
                <w:color w:val="000000"/>
                <w:sz w:val="19"/>
              </w:rPr>
              <w:t>0:00–1:00</w:t>
            </w:r>
          </w:p>
        </w:tc>
        <w:tc>
          <w:tcPr>
            <w:tcW w:type="dxa" w:w="7848"/>
            <w:vAlign w:val="center"/>
            <w:shd w:fill="F3F6F9"/>
            <w:tcMar>
              <w:top w:w="85" w:type="dxa"/>
              <w:bottom w:w="85" w:type="dxa"/>
              <w:left w:w="100" w:type="dxa"/>
              <w:right w:w="100" w:type="dxa"/>
            </w:tcMar>
          </w:tcPr>
          <w:p>
            <w:pPr>
              <w:spacing w:after="0" w:line="252" w:lineRule="auto"/>
            </w:pPr>
            <w:r>
              <w:rPr>
                <w:b w:val="0"/>
                <w:color w:val="000000"/>
                <w:sz w:val="19"/>
              </w:rPr>
              <w:t>Mostrar URL en móvil, cargar LiveDay sin editarlo e iniciar el lote.</w:t>
            </w:r>
          </w:p>
        </w:tc>
      </w:tr>
      <w:tr>
        <w:trPr>
          <w:cantSplit/>
        </w:trPr>
        <w:tc>
          <w:tcPr>
            <w:tcW w:type="dxa" w:w="1512"/>
            <w:vAlign w:val="center"/>
            <w:shd w:fill="FFFFFF"/>
            <w:tcMar>
              <w:top w:w="85" w:type="dxa"/>
              <w:bottom w:w="85" w:type="dxa"/>
              <w:left w:w="100" w:type="dxa"/>
              <w:right w:w="100" w:type="dxa"/>
            </w:tcMar>
          </w:tcPr>
          <w:p>
            <w:pPr>
              <w:spacing w:after="0" w:line="252" w:lineRule="auto"/>
            </w:pPr>
            <w:r>
              <w:rPr>
                <w:b w:val="0"/>
                <w:color w:val="000000"/>
                <w:sz w:val="19"/>
              </w:rPr>
              <w:t>1:00–2:00</w:t>
            </w:r>
          </w:p>
        </w:tc>
        <w:tc>
          <w:tcPr>
            <w:tcW w:type="dxa" w:w="7848"/>
            <w:vAlign w:val="center"/>
            <w:shd w:fill="FFFFFF"/>
            <w:tcMar>
              <w:top w:w="85" w:type="dxa"/>
              <w:bottom w:w="85" w:type="dxa"/>
              <w:left w:w="100" w:type="dxa"/>
              <w:right w:w="100" w:type="dxa"/>
            </w:tcMar>
          </w:tcPr>
          <w:p>
            <w:pPr>
              <w:spacing w:after="0" w:line="252" w:lineRule="auto"/>
            </w:pPr>
            <w:r>
              <w:rPr>
                <w:b w:val="0"/>
                <w:color w:val="000000"/>
                <w:sz w:val="19"/>
              </w:rPr>
              <w:t>Mostrar Fuentes y Actualizar ahora con hora y enlaces reales.</w:t>
            </w:r>
          </w:p>
        </w:tc>
      </w:tr>
      <w:tr>
        <w:trPr>
          <w:cantSplit/>
        </w:trPr>
        <w:tc>
          <w:tcPr>
            <w:tcW w:type="dxa" w:w="1512"/>
            <w:vAlign w:val="center"/>
            <w:shd w:fill="F3F6F9"/>
            <w:tcMar>
              <w:top w:w="85" w:type="dxa"/>
              <w:bottom w:w="85" w:type="dxa"/>
              <w:left w:w="100" w:type="dxa"/>
              <w:right w:w="100" w:type="dxa"/>
            </w:tcMar>
          </w:tcPr>
          <w:p>
            <w:pPr>
              <w:spacing w:after="0" w:line="252" w:lineRule="auto"/>
            </w:pPr>
            <w:r>
              <w:rPr>
                <w:b w:val="0"/>
                <w:color w:val="000000"/>
                <w:sz w:val="19"/>
              </w:rPr>
              <w:t>2:00–3:15</w:t>
            </w:r>
          </w:p>
        </w:tc>
        <w:tc>
          <w:tcPr>
            <w:tcW w:type="dxa" w:w="7848"/>
            <w:vAlign w:val="center"/>
            <w:shd w:fill="F3F6F9"/>
            <w:tcMar>
              <w:top w:w="85" w:type="dxa"/>
              <w:bottom w:w="85" w:type="dxa"/>
              <w:left w:w="100" w:type="dxa"/>
              <w:right w:w="100" w:type="dxa"/>
            </w:tcMar>
          </w:tcPr>
          <w:p>
            <w:pPr>
              <w:spacing w:after="0" w:line="252" w:lineRule="auto"/>
            </w:pPr>
            <w:r>
              <w:rPr>
                <w:b w:val="0"/>
                <w:color w:val="000000"/>
                <w:sz w:val="19"/>
              </w:rPr>
              <w:t>Abrir una alerta producida por el sistema y explicar evidencia y factores.</w:t>
            </w:r>
          </w:p>
        </w:tc>
      </w:tr>
      <w:tr>
        <w:trPr>
          <w:cantSplit/>
        </w:trPr>
        <w:tc>
          <w:tcPr>
            <w:tcW w:type="dxa" w:w="1512"/>
            <w:vAlign w:val="center"/>
            <w:shd w:fill="FFFFFF"/>
            <w:tcMar>
              <w:top w:w="85" w:type="dxa"/>
              <w:bottom w:w="85" w:type="dxa"/>
              <w:left w:w="100" w:type="dxa"/>
              <w:right w:w="100" w:type="dxa"/>
            </w:tcMar>
          </w:tcPr>
          <w:p>
            <w:pPr>
              <w:spacing w:after="0" w:line="252" w:lineRule="auto"/>
            </w:pPr>
            <w:r>
              <w:rPr>
                <w:b w:val="0"/>
                <w:color w:val="000000"/>
                <w:sz w:val="19"/>
              </w:rPr>
              <w:t>3:15–4:15</w:t>
            </w:r>
          </w:p>
        </w:tc>
        <w:tc>
          <w:tcPr>
            <w:tcW w:type="dxa" w:w="7848"/>
            <w:vAlign w:val="center"/>
            <w:shd w:fill="FFFFFF"/>
            <w:tcMar>
              <w:top w:w="85" w:type="dxa"/>
              <w:bottom w:w="85" w:type="dxa"/>
              <w:left w:w="100" w:type="dxa"/>
              <w:right w:w="100" w:type="dxa"/>
            </w:tcMar>
          </w:tcPr>
          <w:p>
            <w:pPr>
              <w:spacing w:after="0" w:line="252" w:lineRule="auto"/>
            </w:pPr>
            <w:r>
              <w:rPr>
                <w:b w:val="0"/>
                <w:color w:val="000000"/>
                <w:sz w:val="19"/>
              </w:rPr>
              <w:t>Mostrar proveedor, productos y alternativo; generar borrador.</w:t>
            </w:r>
          </w:p>
        </w:tc>
      </w:tr>
      <w:tr>
        <w:trPr>
          <w:cantSplit/>
        </w:trPr>
        <w:tc>
          <w:tcPr>
            <w:tcW w:type="dxa" w:w="1512"/>
            <w:vAlign w:val="center"/>
            <w:shd w:fill="F3F6F9"/>
            <w:tcMar>
              <w:top w:w="85" w:type="dxa"/>
              <w:bottom w:w="85" w:type="dxa"/>
              <w:left w:w="100" w:type="dxa"/>
              <w:right w:w="100" w:type="dxa"/>
            </w:tcMar>
          </w:tcPr>
          <w:p>
            <w:pPr>
              <w:spacing w:after="0" w:line="252" w:lineRule="auto"/>
            </w:pPr>
            <w:r>
              <w:rPr>
                <w:b w:val="0"/>
                <w:color w:val="000000"/>
                <w:sz w:val="19"/>
              </w:rPr>
              <w:t>4:15–5:00</w:t>
            </w:r>
          </w:p>
        </w:tc>
        <w:tc>
          <w:tcPr>
            <w:tcW w:type="dxa" w:w="7848"/>
            <w:vAlign w:val="center"/>
            <w:shd w:fill="F3F6F9"/>
            <w:tcMar>
              <w:top w:w="85" w:type="dxa"/>
              <w:bottom w:w="85" w:type="dxa"/>
              <w:left w:w="100" w:type="dxa"/>
              <w:right w:w="100" w:type="dxa"/>
            </w:tcMar>
          </w:tcPr>
          <w:p>
            <w:pPr>
              <w:spacing w:after="0" w:line="252" w:lineRule="auto"/>
            </w:pPr>
            <w:r>
              <w:rPr>
                <w:b w:val="0"/>
                <w:color w:val="000000"/>
                <w:sz w:val="19"/>
              </w:rPr>
              <w:t>Exportar y comprobar que todas las filas están completas.</w:t>
            </w:r>
          </w:p>
        </w:tc>
      </w:tr>
    </w:tbl>
    <w:p>
      <w:pPr>
        <w:spacing w:after="0"/>
      </w:pPr>
    </w:p>
    <w:p>
      <w:r>
        <w:t>Adaptar el orden a la latencia medida. No preescribir respuestas finales para aparentar inferencia. Si falla una integración, mostrar el error y reintento; cualquier resultado cacheado conserva fecha y etiqueta.</w:t>
      </w:r>
    </w:p>
    <w:p>
      <w:pPr>
        <w:pStyle w:val="Heading2"/>
      </w:pPr>
      <w:r>
        <w:t>Verificación de este paquete</w:t>
      </w:r>
    </w:p>
    <w:p>
      <w:r>
        <w:t>Se comprobaron los esquemas y la cartera, seis RSS reales y 16 pruebas de referencia de score y peticiones. El validador del kit comprueba contratos, ejemplos, hashes y coherencia de archivos. El detalle de la ejecución está en evidence/validation_report.json. No se llamó a JEV con credenciales, no se desplegó una app y no se generaron respuestas de test o LiveDay.</w:t>
      </w:r>
    </w:p>
    <w:p>
      <w:pPr>
        <w:pStyle w:val="Heading2"/>
      </w:pPr>
      <w:r>
        <w:t>Fuentes y mantenimiento</w:t>
      </w:r>
    </w:p>
    <w:p>
      <w:r>
        <w:t>Fuentes principales: docs.typesafe.ai/api, docs.typesafe.ai/models y sus páginas de Noul, Choice, Score y Confidence; documentación de Railway sobre FastAPI, servicios, PostgreSQL, configuración y dominios; MDN sobre Autoplay y Web Audio. Las 21 referencias y URLs de feeds están en docs/08_FUENTES_Y_VERIFICACION.md, con fecha de comprobación.</w:t>
      </w:r>
    </w:p>
    <w:p>
      <w:r>
        <w:t>Antes del despliegue, confirmar versiones y acceso de cuenta, ejecutar la llamada autenticada y comprobar RSS desde Railway. Cualquier cambio de modelo, preguntas o política queda versionado. La aceptación de demo demuestra ese flujo; no acredita fiabilidad general de una operación real.</w:t>
      </w:r>
    </w:p>
    <w:sectPr w:rsidR="00FC693F" w:rsidRPr="0006063C" w:rsidSect="00034616">
      <w:headerReference w:type="default" r:id="rId9"/>
      <w:footerReference w:type="default" r:id="rId10"/>
      <w:pgSz w:w="12240" w:h="15840"/>
      <w:pgMar w:top="1224"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16 octubre 2026  ·  Versión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Supplier Risk Radar   /   Especificación para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59" w:lineRule="auto"/>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59"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Risk Radar</dc:title>
  <dc:subject>Especificación de producto y ejecución con Codex</dc:subject>
  <dc:creator>Equipo del proyecto</dc:creator>
  <cp:keywords>JEV RSS Railway procurement demo</cp:keywords>
  <dc:description>generated by python-docx</dc:description>
  <cp:lastModifiedBy/>
  <cp:revision>1</cp:revision>
  <dcterms:created xsi:type="dcterms:W3CDTF">2013-12-23T23:15:00Z</dcterms:created>
  <dcterms:modified xsi:type="dcterms:W3CDTF">2013-12-23T23:15:00Z</dcterms:modified>
  <cp:category/>
</cp:coreProperties>
</file>