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AUTOVALORES E AUTOVETORES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É uma transformação especial T : 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114300" distR="114300">
            <wp:extent cx="177165" cy="127000"/>
            <wp:effectExtent b="0" l="0" r="0" t="0"/>
            <wp:docPr id="105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W.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T(v)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Onde,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é o autovalor (escalar) e v é autovetor (se 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114300" distR="114300">
            <wp:extent cx="114300" cy="139700"/>
            <wp:effectExtent b="0" l="0" r="0" t="0"/>
            <wp:docPr id="106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0).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Como toda transformação linear pode ser escrita pela multiplicação de uma matriz por um vetor então: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(II)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T(v) = Av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Igualando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(II)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tem-se: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Av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 ou Av –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 = 0 que resulta no sistema homogêneo: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(III)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(A –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I) v =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Onde A 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x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v = 0 é sempre solução (trivial).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Os vetores 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114300" distR="114300">
            <wp:extent cx="114300" cy="139700"/>
            <wp:effectExtent b="0" l="0" r="0" t="0"/>
            <wp:docPr id="105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0 para os quais existe um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que resolve a equação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(III)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são chamados de autovetores da matriz A e os valores de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que conjuntamente com v resolvem a equação são chamados de autovalores da matriz A associados aos respectivos autovetores.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Para que a equação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(III)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tenha solução além da trivial é necessário que o determinante da matriz dos coeficientes seja zero, ou seja,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det(A –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I) = 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que resulta em um polinômio de grau n em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conhecido como polinômio característico. As raízes do polinômio característico são os autovalores da matriz 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Para se encontrar os autovetores basta substituir o valor do autovalor na equação original e encontrar o autovetor. O autovalor será, então, associado ao autovetor encontrado.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Na verdade, o autovetor encontrado forma uma base para o espaço de solução da equação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(III)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dado o respectivo autovalor. Logo, qualquer múltiplo do autovetor também é um autovetor.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Portanto: </w:t>
      </w:r>
    </w:p>
    <w:p w:rsidR="00000000" w:rsidDel="00000000" w:rsidP="00000000" w:rsidRDefault="00000000" w:rsidRPr="00000000" w14:paraId="0000001D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Sendo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A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a matriz canônica que representa um operador linear T, temos: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pacing w:before="240" w:lineRule="auto"/>
        <w:ind w:left="283" w:hanging="283"/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vertAlign w:val="baseline"/>
          <w:rtl w:val="0"/>
        </w:rPr>
        <w:t xml:space="preserve">autovalores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λ</w:t>
      </w:r>
      <w:r w:rsidDel="00000000" w:rsidR="00000000" w:rsidRPr="00000000">
        <w:rPr>
          <w:i w:val="1"/>
          <w:sz w:val="32"/>
          <w:szCs w:val="32"/>
          <w:vertAlign w:val="baseline"/>
          <w:rtl w:val="0"/>
        </w:rPr>
        <w:t xml:space="preserve"> de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T</w:t>
      </w:r>
      <w:r w:rsidDel="00000000" w:rsidR="00000000" w:rsidRPr="00000000">
        <w:rPr>
          <w:i w:val="1"/>
          <w:sz w:val="32"/>
          <w:szCs w:val="32"/>
          <w:vertAlign w:val="baseline"/>
          <w:rtl w:val="0"/>
        </w:rPr>
        <w:t xml:space="preserve"> ou de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são as raízes da equação </w:t>
      </w:r>
    </w:p>
    <w:p w:rsidR="00000000" w:rsidDel="00000000" w:rsidP="00000000" w:rsidRDefault="00000000" w:rsidRPr="00000000" w14:paraId="0000001F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pacing w:before="120" w:lineRule="auto"/>
        <w:ind w:firstLine="720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det(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– λ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) = 0,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pacing w:before="240" w:lineRule="auto"/>
        <w:ind w:left="283" w:hanging="283"/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vertAlign w:val="baseline"/>
          <w:rtl w:val="0"/>
        </w:rPr>
        <w:t xml:space="preserve">autovetores </w:t>
      </w: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v</w:t>
      </w:r>
      <w:r w:rsidDel="00000000" w:rsidR="00000000" w:rsidRPr="00000000">
        <w:rPr>
          <w:i w:val="1"/>
          <w:sz w:val="32"/>
          <w:szCs w:val="32"/>
          <w:vertAlign w:val="baseline"/>
          <w:rtl w:val="0"/>
        </w:rPr>
        <w:t xml:space="preserve"> de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T</w:t>
      </w:r>
      <w:r w:rsidDel="00000000" w:rsidR="00000000" w:rsidRPr="00000000">
        <w:rPr>
          <w:i w:val="1"/>
          <w:sz w:val="32"/>
          <w:szCs w:val="32"/>
          <w:vertAlign w:val="baseline"/>
          <w:rtl w:val="0"/>
        </w:rPr>
        <w:t xml:space="preserve"> ou de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para cada λ, são as soluções da equação</w:t>
      </w:r>
    </w:p>
    <w:p w:rsidR="00000000" w:rsidDel="00000000" w:rsidP="00000000" w:rsidRDefault="00000000" w:rsidRPr="00000000" w14:paraId="00000021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ind w:firstLine="720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Av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= λ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v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 ou  (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– λ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)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v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= 0.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Interpretação geométrica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-226694</wp:posOffset>
            </wp:positionH>
            <wp:positionV relativeFrom="paragraph">
              <wp:posOffset>233045</wp:posOffset>
            </wp:positionV>
            <wp:extent cx="4777105" cy="3100070"/>
            <wp:effectExtent b="0" l="0" r="0" t="0"/>
            <wp:wrapSquare wrapText="bothSides" distB="0" distT="0" distL="114300" distR="114300"/>
            <wp:docPr id="106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8999" l="0" r="0" t="4498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3100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u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  é autovetor de T </w:t>
      </w:r>
    </w:p>
    <w:p w:rsidR="00000000" w:rsidDel="00000000" w:rsidP="00000000" w:rsidRDefault="00000000" w:rsidRPr="00000000" w14:paraId="00000028">
      <w:pPr>
        <w:tabs>
          <w:tab w:val="left" w:pos="360"/>
        </w:tabs>
        <w:jc w:val="both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ab/>
        <w:t xml:space="preserve">pois 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∃λ ∈</w:t>
      </w:r>
      <w:r w:rsidDel="00000000" w:rsidR="00000000" w:rsidRPr="00000000">
        <w:rPr>
          <w:rFonts w:ascii="Cas-Open-Face" w:cs="Cas-Open-Face" w:eastAsia="Cas-Open-Face" w:hAnsi="Cas-Open-Face"/>
          <w:sz w:val="36"/>
          <w:szCs w:val="36"/>
          <w:vertAlign w:val="baseline"/>
          <w:rtl w:val="0"/>
        </w:rPr>
        <w:t xml:space="preserve"> R 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/  T(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u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) = 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λ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u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v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 não é autovetor de T </w:t>
      </w:r>
    </w:p>
    <w:p w:rsidR="00000000" w:rsidDel="00000000" w:rsidP="00000000" w:rsidRDefault="00000000" w:rsidRPr="00000000" w14:paraId="0000002A">
      <w:pPr>
        <w:tabs>
          <w:tab w:val="left" w:pos="360"/>
        </w:tabs>
        <w:jc w:val="both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ab/>
        <w:t xml:space="preserve">pois não ∃λ ∈ </w:t>
      </w:r>
      <w:r w:rsidDel="00000000" w:rsidR="00000000" w:rsidRPr="00000000">
        <w:rPr>
          <w:rFonts w:ascii="Cas-Open-Face" w:cs="Cas-Open-Face" w:eastAsia="Cas-Open-Face" w:hAnsi="Cas-Open-Face"/>
          <w:sz w:val="36"/>
          <w:szCs w:val="36"/>
          <w:vertAlign w:val="baseline"/>
          <w:rtl w:val="0"/>
        </w:rPr>
        <w:t xml:space="preserve">R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 / T(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v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) = 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λ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v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u w:val="single"/>
          <w:vertAlign w:val="baseline"/>
          <w:rtl w:val="0"/>
        </w:rPr>
        <w:t xml:space="preserve">Exemplo 1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Considere o operador linear definido no exemplo anterior:</w:t>
        <w:br w:type="textWrapping"/>
      </w:r>
    </w:p>
    <w:p w:rsidR="00000000" w:rsidDel="00000000" w:rsidP="00000000" w:rsidRDefault="00000000" w:rsidRPr="00000000" w14:paraId="0000002F">
      <w:pPr>
        <w:ind w:firstLine="720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T:  </w:t>
      </w:r>
      <w:r w:rsidDel="00000000" w:rsidR="00000000" w:rsidRPr="00000000">
        <w:rPr>
          <w:rFonts w:ascii="Cas-Open-Face" w:cs="Cas-Open-Face" w:eastAsia="Cas-Open-Face" w:hAnsi="Cas-Open-Face"/>
          <w:sz w:val="32"/>
          <w:szCs w:val="32"/>
          <w:vertAlign w:val="baseline"/>
          <w:rtl w:val="0"/>
        </w:rPr>
        <w:t xml:space="preserve">R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2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 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→      </w:t>
      </w:r>
      <w:r w:rsidDel="00000000" w:rsidR="00000000" w:rsidRPr="00000000">
        <w:rPr>
          <w:rFonts w:ascii="Cas-Open-Face" w:cs="Cas-Open-Face" w:eastAsia="Cas-Open-Face" w:hAnsi="Cas-Open-Face"/>
          <w:sz w:val="32"/>
          <w:szCs w:val="32"/>
          <w:vertAlign w:val="baseline"/>
          <w:rtl w:val="0"/>
        </w:rPr>
        <w:t xml:space="preserve">R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20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   (</w:t>
      </w:r>
      <w:r w:rsidDel="00000000" w:rsidR="00000000" w:rsidRPr="00000000">
        <w:rPr>
          <w:i w:val="1"/>
          <w:sz w:val="32"/>
          <w:szCs w:val="32"/>
          <w:vertAlign w:val="baseline"/>
          <w:rtl w:val="0"/>
        </w:rPr>
        <w:t xml:space="preserve">x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, </w:t>
      </w:r>
      <w:r w:rsidDel="00000000" w:rsidR="00000000" w:rsidRPr="00000000">
        <w:rPr>
          <w:i w:val="1"/>
          <w:sz w:val="32"/>
          <w:szCs w:val="32"/>
          <w:vertAlign w:val="baseline"/>
          <w:rtl w:val="0"/>
        </w:rPr>
        <w:t xml:space="preserve">y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) </w:t>
      </w:r>
      <w:r w:rsidDel="00000000" w:rsidR="00000000" w:rsidRPr="00000000">
        <w:rPr>
          <w:sz w:val="32"/>
          <w:szCs w:val="32"/>
          <w:vertAlign w:val="baseline"/>
        </w:rPr>
        <w:drawing>
          <wp:inline distB="0" distT="0" distL="114300" distR="114300">
            <wp:extent cx="203200" cy="152400"/>
            <wp:effectExtent b="0" l="0" r="0" t="0"/>
            <wp:docPr id="106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(4</w:t>
      </w:r>
      <w:r w:rsidDel="00000000" w:rsidR="00000000" w:rsidRPr="00000000">
        <w:rPr>
          <w:i w:val="1"/>
          <w:sz w:val="32"/>
          <w:szCs w:val="32"/>
          <w:vertAlign w:val="baseline"/>
          <w:rtl w:val="0"/>
        </w:rPr>
        <w:t xml:space="preserve">x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+ 5</w:t>
      </w:r>
      <w:r w:rsidDel="00000000" w:rsidR="00000000" w:rsidRPr="00000000">
        <w:rPr>
          <w:i w:val="1"/>
          <w:sz w:val="32"/>
          <w:szCs w:val="32"/>
          <w:vertAlign w:val="baseline"/>
          <w:rtl w:val="0"/>
        </w:rPr>
        <w:t xml:space="preserve">y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, 2</w:t>
      </w:r>
      <w:r w:rsidDel="00000000" w:rsidR="00000000" w:rsidRPr="00000000">
        <w:rPr>
          <w:i w:val="1"/>
          <w:sz w:val="32"/>
          <w:szCs w:val="32"/>
          <w:vertAlign w:val="baseline"/>
          <w:rtl w:val="0"/>
        </w:rPr>
        <w:t xml:space="preserve">x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+ </w:t>
      </w:r>
      <w:r w:rsidDel="00000000" w:rsidR="00000000" w:rsidRPr="00000000">
        <w:rPr>
          <w:i w:val="1"/>
          <w:sz w:val="32"/>
          <w:szCs w:val="32"/>
          <w:vertAlign w:val="baseline"/>
          <w:rtl w:val="0"/>
        </w:rPr>
        <w:t xml:space="preserve">y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283" w:hanging="283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vertAlign w:val="baseline"/>
          <w:rtl w:val="0"/>
        </w:rPr>
        <w:t xml:space="preserve">autovalores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de </w:t>
      </w:r>
      <w:r w:rsidDel="00000000" w:rsidR="00000000" w:rsidRPr="00000000">
        <w:rPr>
          <w:sz w:val="32"/>
          <w:szCs w:val="32"/>
          <w:vertAlign w:val="baseline"/>
        </w:rPr>
        <w:drawing>
          <wp:inline distB="0" distT="0" distL="114300" distR="114300">
            <wp:extent cx="1033780" cy="614680"/>
            <wp:effectExtent b="0" l="0" r="0" t="0"/>
            <wp:docPr id="106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61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, matriz canônica de T. </w:t>
      </w:r>
    </w:p>
    <w:p w:rsidR="00000000" w:rsidDel="00000000" w:rsidP="00000000" w:rsidRDefault="00000000" w:rsidRPr="00000000" w14:paraId="00000033">
      <w:pPr>
        <w:spacing w:before="240" w:lineRule="auto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Resolvemos a equação característica det (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–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λ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) = 0:</w:t>
      </w:r>
    </w:p>
    <w:p w:rsidR="00000000" w:rsidDel="00000000" w:rsidP="00000000" w:rsidRDefault="00000000" w:rsidRPr="00000000" w14:paraId="00000034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</w:rPr>
        <w:drawing>
          <wp:inline distB="0" distT="0" distL="114300" distR="114300">
            <wp:extent cx="3860165" cy="603885"/>
            <wp:effectExtent b="0" l="0" r="0" t="0"/>
            <wp:docPr id="10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603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det (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– λ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) = 0   ⇔ (4 – λ) (1 – λ) – 10 = 0    ⇔    λ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2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– 5λ – 6 = 0 </w:t>
      </w:r>
    </w:p>
    <w:p w:rsidR="00000000" w:rsidDel="00000000" w:rsidP="00000000" w:rsidRDefault="00000000" w:rsidRPr="00000000" w14:paraId="00000038">
      <w:pPr>
        <w:spacing w:before="240" w:lineRule="auto"/>
        <w:ind w:left="2126" w:firstLine="709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⇒   λ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= – 1  e  λ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= 6.</w:t>
      </w:r>
    </w:p>
    <w:p w:rsidR="00000000" w:rsidDel="00000000" w:rsidP="00000000" w:rsidRDefault="00000000" w:rsidRPr="00000000" w14:paraId="00000039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283" w:hanging="283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sz w:val="32"/>
          <w:szCs w:val="32"/>
          <w:u w:val="single"/>
          <w:vertAlign w:val="baseline"/>
          <w:rtl w:val="0"/>
        </w:rPr>
        <w:t xml:space="preserve">autovetores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de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ou de T:</w:t>
      </w:r>
    </w:p>
    <w:p w:rsidR="00000000" w:rsidDel="00000000" w:rsidP="00000000" w:rsidRDefault="00000000" w:rsidRPr="00000000" w14:paraId="0000003B">
      <w:pPr>
        <w:tabs>
          <w:tab w:val="left" w:pos="360"/>
        </w:tabs>
        <w:spacing w:before="120" w:lineRule="auto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60"/>
        </w:tabs>
        <w:spacing w:before="120" w:lineRule="auto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Para cada autovalor λ encontrado, resolvemos o sistema linear (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– λ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)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v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= 0:</w:t>
      </w:r>
    </w:p>
    <w:p w:rsidR="00000000" w:rsidDel="00000000" w:rsidP="00000000" w:rsidRDefault="00000000" w:rsidRPr="00000000" w14:paraId="0000003D">
      <w:pPr>
        <w:tabs>
          <w:tab w:val="left" w:pos="360"/>
        </w:tabs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</w:rPr>
        <w:drawing>
          <wp:inline distB="0" distT="0" distL="114300" distR="114300">
            <wp:extent cx="4224655" cy="2315845"/>
            <wp:effectExtent b="0" l="0" r="0" t="0"/>
            <wp:docPr id="106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315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Então, </w:t>
      </w:r>
      <w:r w:rsidDel="00000000" w:rsidR="00000000" w:rsidRPr="00000000">
        <w:rPr>
          <w:sz w:val="32"/>
          <w:szCs w:val="32"/>
          <w:vertAlign w:val="baseline"/>
        </w:rPr>
        <w:drawing>
          <wp:inline distB="0" distT="0" distL="114300" distR="114300">
            <wp:extent cx="338455" cy="337820"/>
            <wp:effectExtent b="0" l="0" r="0" t="0"/>
            <wp:docPr id="106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455" cy="33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= (– </w:t>
      </w:r>
      <w:r w:rsidDel="00000000" w:rsidR="00000000" w:rsidRPr="00000000">
        <w:rPr>
          <w:i w:val="1"/>
          <w:sz w:val="32"/>
          <w:szCs w:val="32"/>
          <w:vertAlign w:val="baseline"/>
          <w:rtl w:val="0"/>
        </w:rPr>
        <w:t xml:space="preserve">y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, </w:t>
      </w:r>
      <w:r w:rsidDel="00000000" w:rsidR="00000000" w:rsidRPr="00000000">
        <w:rPr>
          <w:i w:val="1"/>
          <w:sz w:val="32"/>
          <w:szCs w:val="32"/>
          <w:vertAlign w:val="baseline"/>
          <w:rtl w:val="0"/>
        </w:rPr>
        <w:t xml:space="preserve">y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) sendo um de seus representantes o vetor 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v</w:t>
      </w:r>
      <w:r w:rsidDel="00000000" w:rsidR="00000000" w:rsidRPr="00000000">
        <w:rPr>
          <w:b w:val="1"/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= (– 1, 1). </w:t>
      </w:r>
    </w:p>
    <w:p w:rsidR="00000000" w:rsidDel="00000000" w:rsidP="00000000" w:rsidRDefault="00000000" w:rsidRPr="00000000" w14:paraId="00000040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</w:rPr>
        <w:drawing>
          <wp:inline distB="0" distT="0" distL="114300" distR="114300">
            <wp:extent cx="3883025" cy="2762885"/>
            <wp:effectExtent b="0" l="0" r="0" t="0"/>
            <wp:docPr id="106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2762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Então </w:t>
      </w:r>
      <w:r w:rsidDel="00000000" w:rsidR="00000000" w:rsidRPr="00000000">
        <w:rPr>
          <w:sz w:val="32"/>
          <w:szCs w:val="32"/>
          <w:vertAlign w:val="baseline"/>
        </w:rPr>
        <w:drawing>
          <wp:inline distB="0" distT="0" distL="114300" distR="114300">
            <wp:extent cx="386080" cy="355600"/>
            <wp:effectExtent b="0" l="0" r="0" t="0"/>
            <wp:docPr id="105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= (</w:t>
      </w:r>
      <w:r w:rsidDel="00000000" w:rsidR="00000000" w:rsidRPr="00000000">
        <w:rPr>
          <w:sz w:val="32"/>
          <w:szCs w:val="32"/>
          <w:vertAlign w:val="baseline"/>
        </w:rPr>
        <w:drawing>
          <wp:inline distB="0" distT="0" distL="114300" distR="114300">
            <wp:extent cx="139700" cy="342900"/>
            <wp:effectExtent b="0" l="0" r="0" t="0"/>
            <wp:docPr id="106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32"/>
          <w:szCs w:val="32"/>
          <w:vertAlign w:val="baseline"/>
          <w:rtl w:val="0"/>
        </w:rPr>
        <w:t xml:space="preserve">y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, </w:t>
      </w:r>
      <w:r w:rsidDel="00000000" w:rsidR="00000000" w:rsidRPr="00000000">
        <w:rPr>
          <w:i w:val="1"/>
          <w:sz w:val="32"/>
          <w:szCs w:val="32"/>
          <w:vertAlign w:val="baseline"/>
          <w:rtl w:val="0"/>
        </w:rPr>
        <w:t xml:space="preserve">y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) sendo um de seus representantes o vetor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v</w:t>
      </w:r>
      <w:r w:rsidDel="00000000" w:rsidR="00000000" w:rsidRPr="00000000">
        <w:rPr>
          <w:b w:val="1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= (</w:t>
      </w:r>
      <w:r w:rsidDel="00000000" w:rsidR="00000000" w:rsidRPr="00000000">
        <w:rPr>
          <w:sz w:val="32"/>
          <w:szCs w:val="32"/>
          <w:vertAlign w:val="baseline"/>
        </w:rPr>
        <w:drawing>
          <wp:inline distB="0" distT="0" distL="114300" distR="114300">
            <wp:extent cx="139700" cy="342900"/>
            <wp:effectExtent b="0" l="0" r="0" t="0"/>
            <wp:docPr id="10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, 1). </w:t>
      </w:r>
    </w:p>
    <w:p w:rsidR="00000000" w:rsidDel="00000000" w:rsidP="00000000" w:rsidRDefault="00000000" w:rsidRPr="00000000" w14:paraId="00000044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Exemplo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Determinar os autovalores e autovetores do operador linear: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 :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114300" distR="114300">
            <wp:extent cx="177165" cy="127000"/>
            <wp:effectExtent b="0" l="0" r="0" t="0"/>
            <wp:docPr id="105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T(x,y,z) = (3x – y + z, -x + 5y + z, x – y + 3z)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 forma matricial: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114300" distR="114300">
            <wp:extent cx="4566285" cy="1809115"/>
            <wp:effectExtent b="0" l="0" r="0" t="0"/>
            <wp:docPr id="105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1809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Cálculo numérico: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0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-36 = 0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logo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&gt; 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1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-10 = 0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logo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&gt; 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2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0 = 0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logo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Dividindo por 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 2):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 2) 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- 9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+ 18) = 0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6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Os autovalores são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2,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6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Para achar os autovetores basta substituir cada um dos autovalores na equação (A –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I) v = 0: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2: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114300" distR="114300">
            <wp:extent cx="2167255" cy="1009650"/>
            <wp:effectExtent b="0" l="0" r="0" t="0"/>
            <wp:docPr id="105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Escalonando: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114300" distR="114300">
            <wp:extent cx="4909820" cy="1081405"/>
            <wp:effectExtent b="0" l="0" r="0" t="0"/>
            <wp:docPr id="10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108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Logo,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(x,0,-x) = x (1,0,-1)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Assim, qualquer múltiplo do vetor (1,0,-1) é um autovetor que tem como autovalor associado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2,   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(1,0,-1)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3: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114300" distR="114300">
            <wp:extent cx="5026025" cy="1878965"/>
            <wp:effectExtent b="0" l="0" r="0" t="0"/>
            <wp:docPr id="105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878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Assim,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(x,x,x) = x (1,1,1).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(1,1,1) ou seus múltiplos.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6: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114300" distR="114300">
            <wp:extent cx="5026025" cy="2106295"/>
            <wp:effectExtent b="0" l="0" r="0" t="0"/>
            <wp:docPr id="105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210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(z,-2z,z) = z (1,-2,1)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(1,-2,1) ou seus múltiplos.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Observações: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é um autovalor de A, o conjunto 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bscript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de todos os vetores v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V, inclusive v nulo, associados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é um subespaço vetorial (próprio) de V.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matriz dos autovetores é chamada MATRIZ MODAL.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u w:val="single"/>
          <w:vertAlign w:val="baseline"/>
          <w:rtl w:val="0"/>
        </w:rPr>
        <w:t xml:space="preserve">Exemplo 3: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 </w:t>
        <w:tab/>
        <w:t xml:space="preserve">  </w:t>
      </w:r>
      <w:r w:rsidDel="00000000" w:rsidR="00000000" w:rsidRPr="00000000">
        <w:rPr>
          <w:b w:val="1"/>
          <w:sz w:val="36"/>
          <w:szCs w:val="36"/>
          <w:vertAlign w:val="baseline"/>
        </w:rPr>
        <w:drawing>
          <wp:inline distB="0" distT="0" distL="114300" distR="114300">
            <wp:extent cx="1490980" cy="709295"/>
            <wp:effectExtent b="0" l="0" r="0" t="0"/>
            <wp:docPr id="106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709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tabs>
          <w:tab w:val="left" w:pos="360"/>
        </w:tabs>
        <w:spacing w:line="360" w:lineRule="auto"/>
        <w:ind w:left="3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equação característica: det(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A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 – 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λ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I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) = 0.</w:t>
      </w:r>
    </w:p>
    <w:p w:rsidR="00000000" w:rsidDel="00000000" w:rsidP="00000000" w:rsidRDefault="00000000" w:rsidRPr="00000000" w14:paraId="00000071">
      <w:pPr>
        <w:spacing w:line="360" w:lineRule="auto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sz w:val="36"/>
          <w:szCs w:val="36"/>
          <w:vertAlign w:val="baseline"/>
        </w:rPr>
        <w:drawing>
          <wp:inline distB="0" distT="0" distL="114300" distR="114300">
            <wp:extent cx="7199630" cy="727710"/>
            <wp:effectExtent b="0" l="0" r="0" t="0"/>
            <wp:docPr id="105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727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        </w:t>
      </w:r>
      <w:r w:rsidDel="00000000" w:rsidR="00000000" w:rsidRPr="00000000">
        <w:rPr>
          <w:sz w:val="36"/>
          <w:szCs w:val="36"/>
          <w:vertAlign w:val="baseline"/>
        </w:rPr>
        <w:drawing>
          <wp:inline distB="0" distT="0" distL="114300" distR="114300">
            <wp:extent cx="2395220" cy="674370"/>
            <wp:effectExtent b="0" l="0" r="0" t="0"/>
            <wp:docPr id="106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674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tabs>
          <w:tab w:val="left" w:pos="360"/>
        </w:tabs>
        <w:ind w:left="3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vertAlign w:val="baseline"/>
          <w:rtl w:val="0"/>
        </w:rPr>
        <w:t xml:space="preserve">autovalores de </w:t>
      </w: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: os valores </w:t>
      </w:r>
      <w:r w:rsidDel="00000000" w:rsidR="00000000" w:rsidRPr="00000000">
        <w:rPr>
          <w:sz w:val="36"/>
          <w:szCs w:val="36"/>
          <w:vertAlign w:val="baseline"/>
        </w:rPr>
        <w:drawing>
          <wp:inline distB="0" distT="0" distL="114300" distR="114300">
            <wp:extent cx="1985645" cy="250825"/>
            <wp:effectExtent b="0" l="0" r="0" t="0"/>
            <wp:docPr id="105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25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 não são reais ⇒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A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 possui autovalores complexos, igualmente válidos para nós!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tabs>
          <w:tab w:val="left" w:pos="360"/>
        </w:tabs>
        <w:spacing w:before="240" w:lineRule="auto"/>
        <w:ind w:left="357" w:hanging="357"/>
        <w:rPr>
          <w:sz w:val="36"/>
          <w:szCs w:val="36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O procedimento para se determinar os autovetores é o mesmo. Assim, é possível encontrar os autovetores associados a estes autovalores.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72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Referências Bibliográficas: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6"/>
          <w:szCs w:val="36"/>
          <w:vertAlign w:val="baseline"/>
        </w:rPr>
      </w:pPr>
      <w:hyperlink r:id="rId29">
        <w:r w:rsidDel="00000000" w:rsidR="00000000" w:rsidRPr="00000000">
          <w:rPr>
            <w:color w:val="000000"/>
            <w:sz w:val="36"/>
            <w:szCs w:val="36"/>
            <w:u w:val="none"/>
            <w:vertAlign w:val="baseline"/>
            <w:rtl w:val="0"/>
          </w:rPr>
          <w:t xml:space="preserve">http://www.ene.unb.br/~flavia/aula16-adl.doc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http://www.stamford.pro.br/ARQUIVOS/2002_Algebra.doc</w:t>
      </w:r>
    </w:p>
    <w:p w:rsidR="00000000" w:rsidDel="00000000" w:rsidP="00000000" w:rsidRDefault="00000000" w:rsidRPr="00000000" w14:paraId="0000007D">
      <w:pPr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BOLDRINI, C. Álgebra Linear. 3ª ed. Editora Harbra, 1986.</w:t>
      </w:r>
    </w:p>
    <w:p w:rsidR="00000000" w:rsidDel="00000000" w:rsidP="00000000" w:rsidRDefault="00000000" w:rsidRPr="00000000" w14:paraId="0000007E">
      <w:pPr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0" w:type="default"/>
      <w:footerReference r:id="rId31" w:type="default"/>
      <w:footerReference r:id="rId32" w:type="even"/>
      <w:pgSz w:h="11907" w:w="16840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  <w:font w:name="Arimo"/>
  <w:font w:name="Cas-Open-Face"/>
  <w:font w:name="Symbo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0110556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80110456"/>
      <w:numFmt w:val="bullet"/>
      <w:lvlText w:val="●"/>
      <w:lvlJc w:val="left"/>
      <w:pPr>
        <w:ind w:left="283" w:hanging="283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upperRoman"/>
      <w:lvlText w:val="(%1)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3"/>
    </w:pPr>
    <w:rPr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="283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titulo_resenha">
    <w:name w:val="titulo_resenha"/>
    <w:basedOn w:val="Fonteparág.padrão"/>
    <w:next w:val="titulo_resenh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rte">
    <w:name w:val="Forte"/>
    <w:basedOn w:val="Fonteparág.padrão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2" Type="http://schemas.openxmlformats.org/officeDocument/2006/relationships/image" Target="media/image3.png"/><Relationship Id="rId28" Type="http://schemas.openxmlformats.org/officeDocument/2006/relationships/image" Target="media/image4.png"/><Relationship Id="rId16" Type="http://schemas.openxmlformats.org/officeDocument/2006/relationships/image" Target="media/image8.png"/><Relationship Id="rId20" Type="http://schemas.openxmlformats.org/officeDocument/2006/relationships/image" Target="media/image7.png"/><Relationship Id="rId15" Type="http://schemas.openxmlformats.org/officeDocument/2006/relationships/image" Target="media/image14.png"/><Relationship Id="rId11" Type="http://schemas.openxmlformats.org/officeDocument/2006/relationships/image" Target="media/image15.png"/><Relationship Id="rId25" Type="http://schemas.openxmlformats.org/officeDocument/2006/relationships/image" Target="media/image16.png"/><Relationship Id="rId14" Type="http://schemas.openxmlformats.org/officeDocument/2006/relationships/image" Target="media/image23.png"/><Relationship Id="rId7" Type="http://schemas.openxmlformats.org/officeDocument/2006/relationships/image" Target="media/image20.png"/><Relationship Id="rId29" Type="http://schemas.openxmlformats.org/officeDocument/2006/relationships/hyperlink" Target="http://www.ene.unb.br/~flavia/aula16-adl.doc" TargetMode="External"/><Relationship Id="rId27" Type="http://schemas.openxmlformats.org/officeDocument/2006/relationships/image" Target="media/image22.png"/><Relationship Id="rId13" Type="http://schemas.openxmlformats.org/officeDocument/2006/relationships/image" Target="media/image19.png"/><Relationship Id="rId8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31" Type="http://schemas.openxmlformats.org/officeDocument/2006/relationships/footer" Target="footer1.xml"/><Relationship Id="rId22" Type="http://schemas.openxmlformats.org/officeDocument/2006/relationships/image" Target="media/image2.png"/><Relationship Id="rId1" Type="http://schemas.openxmlformats.org/officeDocument/2006/relationships/theme" Target="theme/theme1.xml"/><Relationship Id="rId30" Type="http://schemas.openxmlformats.org/officeDocument/2006/relationships/header" Target="header1.xml"/><Relationship Id="rId18" Type="http://schemas.openxmlformats.org/officeDocument/2006/relationships/image" Target="media/image1.png"/><Relationship Id="rId5" Type="http://schemas.openxmlformats.org/officeDocument/2006/relationships/styles" Target="styles.xml"/><Relationship Id="rId26" Type="http://schemas.openxmlformats.org/officeDocument/2006/relationships/image" Target="media/image5.png"/><Relationship Id="rId24" Type="http://schemas.openxmlformats.org/officeDocument/2006/relationships/image" Target="media/image6.png"/><Relationship Id="rId23" Type="http://schemas.openxmlformats.org/officeDocument/2006/relationships/image" Target="media/image9.png"/><Relationship Id="rId21" Type="http://schemas.openxmlformats.org/officeDocument/2006/relationships/image" Target="media/image13.png"/><Relationship Id="rId2" Type="http://schemas.openxmlformats.org/officeDocument/2006/relationships/settings" Target="settings.xml"/><Relationship Id="rId32" Type="http://schemas.openxmlformats.org/officeDocument/2006/relationships/footer" Target="footer2.xml"/><Relationship Id="rId10" Type="http://schemas.openxmlformats.org/officeDocument/2006/relationships/image" Target="media/image18.png"/><Relationship Id="rId19" Type="http://schemas.openxmlformats.org/officeDocument/2006/relationships/image" Target="media/image10.png"/><Relationship Id="rId17" Type="http://schemas.openxmlformats.org/officeDocument/2006/relationships/image" Target="media/image21.png"/><Relationship Id="rId3" Type="http://schemas.openxmlformats.org/officeDocument/2006/relationships/fontTable" Target="fontTable.xml"/><Relationship Id="rId6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2009-09-22T14:30:00Z</dcterms:created>
  <dc:creator>telma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