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Universidade Federal do ABC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162175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Ciência, Tecnologia e Sociedade</w:t>
      </w:r>
      <w:r w:rsidDel="00000000" w:rsidR="00000000" w:rsidRPr="00000000">
        <w:rPr>
          <w:rtl w:val="0"/>
        </w:rPr>
      </w:r>
    </w:p>
    <w:tbl>
      <w:tblPr>
        <w:tblStyle w:val="Table1"/>
        <w:tblW w:w="9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"/>
        <w:tblGridChange w:id="0">
          <w:tblGrid>
            <w:gridCol w:w="907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Avaliação do Grupo 9</w:t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color w:val="006633"/>
          <w:sz w:val="46"/>
          <w:szCs w:val="46"/>
        </w:rPr>
      </w:pPr>
      <w:r w:rsidDel="00000000" w:rsidR="00000000" w:rsidRPr="00000000">
        <w:rPr>
          <w:sz w:val="28"/>
          <w:szCs w:val="28"/>
          <w:rtl w:val="0"/>
        </w:rPr>
        <w:t xml:space="preserve">Profa. Dra.</w:t>
      </w:r>
      <w:r w:rsidDel="00000000" w:rsidR="00000000" w:rsidRPr="00000000">
        <w:rPr>
          <w:sz w:val="28"/>
          <w:szCs w:val="28"/>
          <w:rtl w:val="0"/>
        </w:rPr>
        <w:t xml:space="preserve"> Andrea Paula dos Santos Oliveira Kamensky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Awdrey T. Vasconcelos Nunes- RA: 11201720398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sz w:val="28"/>
            <w:szCs w:val="28"/>
            <w:rtl w:val="0"/>
          </w:rPr>
          <w:t xml:space="preserve">Gisele da Silva Carvalho</w:t>
        </w:r>
      </w:hyperlink>
      <w:r w:rsidDel="00000000" w:rsidR="00000000" w:rsidRPr="00000000">
        <w:rPr>
          <w:sz w:val="28"/>
          <w:szCs w:val="28"/>
          <w:rtl w:val="0"/>
        </w:rPr>
        <w:t xml:space="preserve"> - RA: 11201922413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Henrique Guimarães Coutinho  - RA: 11201921488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Moura de Almeida - RA: 11201811415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Pedro Henrique Assarito Araújo - RA: 11201810768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8"/>
          <w:szCs w:val="28"/>
        </w:rPr>
      </w:pPr>
      <w:hyperlink r:id="rId8">
        <w:r w:rsidDel="00000000" w:rsidR="00000000" w:rsidRPr="00000000">
          <w:rPr>
            <w:sz w:val="28"/>
            <w:szCs w:val="28"/>
            <w:rtl w:val="0"/>
          </w:rPr>
          <w:t xml:space="preserve">Samuel Aquino Silva</w:t>
        </w:r>
      </w:hyperlink>
      <w:r w:rsidDel="00000000" w:rsidR="00000000" w:rsidRPr="00000000">
        <w:rPr>
          <w:sz w:val="28"/>
          <w:szCs w:val="28"/>
          <w:rtl w:val="0"/>
        </w:rPr>
        <w:t xml:space="preserve"> - RA: 11201921722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São Bernardo do Campo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31/10/2021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Grupo 9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.1. É Edgar…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não é só o pensamento que é complexo…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primeiro texto publicado pelo grupo, de autoria da aluna Sarah Leite, trata da complexidade do “fazer científico” e da construção de um pensamento complexo que permita ao cientista a contextualização e avaliação dos impactos sociais de sua produção científica.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Além disso, a autora enfatiza as dificuldades encontradas na construção do pensamento supracitado, especialmente em um país como o Brasil, dotado de  expressivas desigualdades sociais e onde o acesso à educação superior ainda é um privilégio de poucos, infelizmente.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Uma ótima produção textual. É muito interessante a autora se colocar como um exemplo na análise das dificuldades de transição entre o ensino médio e o ensino superior, especialmente no que diz respeito à conexão entre as diversas áreas do conhecimento.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1.2. Não Acredite na 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segunda produção textual publicada pelo grupo, de autoria da aluna Pamela Paulino, nos apresenta uma abordagem dos perigos da pseudociência para a sociedade e traz uma desmistificação sobre a ciência, a qual não deve ser passível de crenças.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É bastante interessante a forma como o tema é abordado e como a autora traz exemplos bastante atuais, nacionais e internacionais, para exemplificar os males da pseudociência. Esse é um tema bastante relevante, especialmente nos dias atuais, nos quais o mundo mergulha em uma onda extremamente perigosa de negacionismo científico em um momento extremamente delicado da nossa história: a pandemia de Covid-19.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A estrutura do texto em si é muito boa. A autora aborda os temas de forma bastante descontraída e divertida, o que é bastante importante em termos de divulgação científica, deixando o texto leve e fluido para leitura. Além disso, a autora apresenta diversos links de interesse ao final do artigo, de forma a incentivar aqueles que 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interessaram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pelos temas abordados no texto a buscar mais informações sobre eles.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1.3. Os Tempos Modernos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Na última produção textual publicada pelo grupo, de autoria do aluno Daniel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Bock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dos Santos, podemos notar uma crítica ao processo 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uberização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do trabalho, o qual, segundo o autor, parece guiar as relações de trabalho em direção ao retrocesso.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Por se tratar de um tema atual e que ganhou bastante visibilidade em tempos de pandemia, torna-se um objeto de leitura bastante interessante e nos leva à reflexão sobre toda a rede exploratória, por parte dos aplicativos grandes aplicativos (de transporte, de entregas, etc…), de seus trabalhadores.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Trata-se de um texto muito bem construído. É um texto curto e que vai direto ao ponto, trazendo reflexões bastante importantes sobre as drásticas mudanças nas relações de trabalho durante as últimas décadas e levantando questões reflexivas sobre a relação de trabalho atual - e sua precariedade - que talvez até os mais atentos deixem de reparar com a constante correria do presente.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1.4. Avaliação Geral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1.4.1. O site/blog desenvolveu satisfatoriamente todos os temas e objetivos esperados?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 apenas três textos, o grupo 9 conseguiu sintetizar os principais temas abordados nos módulos 1, 2 e 3 da disciplina de Ciência, Tecnologia e Sociedade de forma satisfatória.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1.4.2. O site/blog foi construído de acordo com as melhores práticas da Divulgação Científica?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forma como o site aborda os temas é bastante interessante, muitas vezes os alimentando com pitadas de humor 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descontrações.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Os textos não são longos e o próprio site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evidencia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isso. Ao início de cada texto, podemos notar uma estimativa de tempo de leitura de seu conteúdo, de forma que essa estimativa nunca ultrapassa os 10 minutos. Tratam-se, portanto, de textos curtos e objetivos, os quais abordam os temas explorados de forma descontraída e conseguem prender, de forma satisfatória, a atenção do(a) leitor(a). Sendo assim, podemos dizer que o site/blog foi construído com base em boas práticas de divulgação científica.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1.4.3. Quais as sugestões para melhorias, elogios e contrapontos seu grupo acha importante registrar acerca do site/blog avaliado?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Primeiramente, gostaríamos de parabenizar todo o grupo pela produção do conteúdo apresentado em seu site. Todos os textos fornecem uma leitura leve e prazerosa. A única sugestão que deixamos ao grupo 9 é a inserção de imagens entre os parágrafos, para que a leitura fique ainda menos cansativa aos olhos de quem acessa o site. Talvez, um texto abordando em mais detalhes a questão da cooperação em tempos de pandemia seria bastante interessante também. Novamente, parabéns ao grupo pela produção!</w:t>
        <w:br w:type="textWrapping"/>
      </w: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oodle.ufabc.edu.br/user/view.php?id=64118&amp;course=2143" TargetMode="External"/><Relationship Id="rId8" Type="http://schemas.openxmlformats.org/officeDocument/2006/relationships/hyperlink" Target="https://moodle.ufabc.edu.br/user/view.php?id=64438&amp;course=2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