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UNIVERSIDADE FEDERAL DO ABC - UFABC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Centro de Engenharia, Modelagem e Ciências Sociais Aplicadas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549363" cy="2349206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34908" l="14573" r="128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9363" cy="2349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40"/>
          <w:szCs w:val="4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40"/>
          <w:szCs w:val="40"/>
          <w:rtl w:val="0"/>
        </w:rPr>
        <w:t xml:space="preserve">Dinâmica Orbital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Atividade Computacional 1: Estudo da relação entre anomalias verdadeiras, médias e excêntricas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Gabriel Moraes de Souza     -      RA: 11201811286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Lucas Moura de Almeida      -     RA: 11201811415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Professora: Cláudia Celeste Celestino de Paula Santos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São Bernardo do Campo - 14 de Outubro de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Sumário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jjplzbbb1svz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…………………………………………………………………………..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_jjplzbbb1svz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ip8i67wo0i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Fundamentação Teórica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………………………………………………………….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_wip8i67wo0im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wxlxjidp84p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Órbita Elíptica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………………………………………………………………....</w:t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_7wxlxjidp84p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7bbqsj13hgi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Órbita Hiperbólica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…………………………………………………………….</w:t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_r7bbqsj13hgi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Descrição Numérica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……………………………………………………………....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ms6jptnipe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Resultados e discussões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……………………………………………………….</w:t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_oms6jptnipek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tgy3cki63wu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Primeira Parte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………………………………………………………………..</w:t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_7tgy3cki63wu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xzg06l4hexk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 Segunda Parte</w:t>
            </w:r>
          </w:hyperlink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……………………………………………………………....</w:t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_uxzg06l4hexk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mwh8s70c2w0"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4.2.1. Elipse</w:t>
            </w:r>
          </w:hyperlink>
          <w:r w:rsidDel="00000000" w:rsidR="00000000" w:rsidRPr="00000000">
            <w:rPr>
              <w:rFonts w:ascii="Arial" w:cs="Arial" w:eastAsia="Arial" w:hAnsi="Arial"/>
              <w:i w:val="1"/>
              <w:sz w:val="24"/>
              <w:szCs w:val="24"/>
              <w:rtl w:val="0"/>
            </w:rPr>
            <w:t xml:space="preserve">…………………………………………………………………..</w:t>
          </w:r>
          <w:r w:rsidDel="00000000" w:rsidR="00000000" w:rsidRPr="00000000">
            <w:rPr>
              <w:rFonts w:ascii="Arial" w:cs="Arial" w:eastAsia="Arial" w:hAnsi="Arial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_gmwh8s70c2w0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fcb3hxwir4v">
            <w:r w:rsidDel="00000000" w:rsidR="00000000" w:rsidRPr="00000000">
              <w:rPr>
                <w:rFonts w:ascii="Arial" w:cs="Arial" w:eastAsia="Arial" w:hAnsi="Arial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4.2.2. Hipérbole</w:t>
            </w:r>
          </w:hyperlink>
          <w:r w:rsidDel="00000000" w:rsidR="00000000" w:rsidRPr="00000000">
            <w:rPr>
              <w:rFonts w:ascii="Arial" w:cs="Arial" w:eastAsia="Arial" w:hAnsi="Arial"/>
              <w:i w:val="1"/>
              <w:sz w:val="24"/>
              <w:szCs w:val="24"/>
              <w:rtl w:val="0"/>
            </w:rPr>
            <w:t xml:space="preserve">……………………………………………………………....</w:t>
          </w:r>
          <w:r w:rsidDel="00000000" w:rsidR="00000000" w:rsidRPr="00000000">
            <w:rPr>
              <w:rFonts w:ascii="Arial" w:cs="Arial" w:eastAsia="Arial" w:hAnsi="Arial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_tfcb3hxwir4v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sz w:val="24"/>
              <w:szCs w:val="24"/>
            </w:rPr>
          </w:pPr>
          <w:hyperlink w:anchor="_eglk66oc5zzi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5. Conclusão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………………………………………………………………………...</w:t>
            <w:tab/>
          </w:r>
          <w:r w:rsidDel="00000000" w:rsidR="00000000" w:rsidRPr="00000000">
            <w:fldChar w:fldCharType="begin"/>
            <w:instrText xml:space="preserve"> PAGEREF _eglk66oc5zzi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8503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sz w:val="24"/>
              <w:szCs w:val="24"/>
            </w:rPr>
          </w:pPr>
          <w:hyperlink w:anchor="_q4sylmx1fa3y"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6. Referências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……………………………………………………………………….</w:t>
            <w:tab/>
          </w:r>
          <w:r w:rsidDel="00000000" w:rsidR="00000000" w:rsidRPr="00000000">
            <w:fldChar w:fldCharType="begin"/>
            <w:instrText xml:space="preserve"> PAGEREF _q4sylmx1fa3y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z w:val="24"/>
              <w:szCs w:val="24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48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  <w:rtl w:val="0"/>
        </w:rPr>
        <w:t xml:space="preserve">Resumo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presente trabalho busca, por meio de rotinas computacionais, utilizando-se a linguagem de programação Octave, aliado a métodos numéricos, estudar a relação entre anomalias verdadeiras, excêntricas e médias, se propondo também a convertê-las. Assim, a priori se deu o estudo de como as anomalias se relacionam, haja visto que a anomalia média, se relaciona com o tempo, e a anomalia excêntrica é obtida através de relações geométricas, por exemplo, entre uma elipse e seu círculo equivalente.</w:t>
      </w:r>
    </w:p>
    <w:p w:rsidR="00000000" w:rsidDel="00000000" w:rsidP="00000000" w:rsidRDefault="00000000" w:rsidRPr="00000000" w14:paraId="00000027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Dessa maneira, se inicia o processo de programação, com uso do método de Newton-Raphson é possível rapidamente, com poucas iterações, encontrar as raízes de uma equação e, consequentemente, encontrar as anomalias, importante salientar que o processo conta com certos dados de entrada (ou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inputs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em inglês), eles são a excentricidade e a anomalia média, além disso para obter o valor inicial que dará início ao método computacional é fornecido previamente através da análise de uma condição. Pode-se dizer que os resultados obtidos são condizentes e, portanto, o documento atual cumpre seu objetivo com maestria.</w:t>
      </w:r>
    </w:p>
    <w:p w:rsidR="00000000" w:rsidDel="00000000" w:rsidP="00000000" w:rsidRDefault="00000000" w:rsidRPr="00000000" w14:paraId="00000028">
      <w:pPr>
        <w:spacing w:line="48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48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48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48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48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48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Palavras-chave: dinâmica, órbita, anomalias, cônicas.</w:t>
      </w:r>
    </w:p>
    <w:p w:rsidR="00000000" w:rsidDel="00000000" w:rsidP="00000000" w:rsidRDefault="00000000" w:rsidRPr="00000000" w14:paraId="0000002F">
      <w:pPr>
        <w:spacing w:line="480" w:lineRule="auto"/>
        <w:jc w:val="center"/>
        <w:rPr>
          <w:rFonts w:ascii="Arial" w:cs="Arial" w:eastAsia="Arial" w:hAnsi="Arial"/>
          <w:b w:val="1"/>
          <w:color w:val="ff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presente documento visa, por meio de uma rotina de conversão de anomalias médias em anomalias excêntricas e verdadeiras de órbitas elípticas e hiperbólicas, entender sua relação e sua importância para o estudo de corpos celestes, sendo estes naturais ou artificiais.</w:t>
      </w:r>
    </w:p>
    <w:p w:rsidR="00000000" w:rsidDel="00000000" w:rsidP="00000000" w:rsidRDefault="00000000" w:rsidRPr="00000000" w14:paraId="00000031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ferramentas, o propósito é ter baixo custo computacional e ser passível o acesso a comunidade e a quem mais interessar, por isso, a rotina se parte de um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script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realizado em Octave, com implementação numérica para resolução.</w:t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0" w:line="360" w:lineRule="auto"/>
        <w:jc w:val="both"/>
        <w:rPr>
          <w:vertAlign w:val="baseline"/>
        </w:rPr>
      </w:pPr>
      <w:bookmarkStart w:colFirst="0" w:colLast="0" w:name="_jjplzbbb1svz" w:id="0"/>
      <w:bookmarkEnd w:id="0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trabalho pode ser dividido em dois grandes eixos, o primeiro tem como característica, analisar graficamente, a relação entre as anomalias de uma elipse, e sua relação com a excentricidade da órbita.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Já a segunda parte, se dá por meio de um código, ou algoritmo, a qual, em suas modulações, deve transformar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inputs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 anomalias médias em anomalias excêntricas e verdadeiras, com duas possibilidades distintas de órbitas: elípticas e hiperbólicas.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wip8i67wo0im" w:id="1"/>
      <w:bookmarkEnd w:id="1"/>
      <w:r w:rsidDel="00000000" w:rsidR="00000000" w:rsidRPr="00000000">
        <w:rPr>
          <w:rtl w:val="0"/>
        </w:rPr>
        <w:t xml:space="preserve">2. Fundamentação Teórica 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  <w:tab/>
        <w:t xml:space="preserve">O processo de embasamento teórico se inicia ao se analisar a órbita de um corpo celeste em função do tempo. E para tanto se partirá da equação 1 relativa a posição de um cônica qualquer.</w:t>
      </w:r>
    </w:p>
    <w:tbl>
      <w:tblPr>
        <w:tblStyle w:val="Table1"/>
        <w:tblW w:w="8505.0" w:type="dxa"/>
        <w:jc w:val="left"/>
        <w:tblInd w:w="100.0" w:type="pct"/>
        <w:tblLayout w:type="fixed"/>
        <w:tblLook w:val="0600"/>
      </w:tblPr>
      <w:tblGrid>
        <w:gridCol w:w="900"/>
        <w:gridCol w:w="6660"/>
        <w:gridCol w:w="945"/>
        <w:tblGridChange w:id="0">
          <w:tblGrid>
            <w:gridCol w:w="900"/>
            <w:gridCol w:w="6660"/>
            <w:gridCol w:w="9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30"/>
                <w:szCs w:val="30"/>
              </w:rPr>
            </w:pPr>
            <m:oMath>
              <m:r>
                <w:rPr>
                  <w:rFonts w:ascii="Arial" w:cs="Arial" w:eastAsia="Arial" w:hAnsi="Arial"/>
                  <w:sz w:val="30"/>
                  <w:szCs w:val="30"/>
                </w:rPr>
                <m:t xml:space="preserve">r = </m:t>
              </m:r>
              <m:f>
                <m:fPr>
                  <m:ctrlPr>
                    <w:rPr>
                      <w:rFonts w:ascii="Arial" w:cs="Arial" w:eastAsia="Arial" w:hAnsi="Arial"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Arial" w:cs="Arial" w:eastAsia="Arial" w:hAnsi="Arial"/>
                      <w:sz w:val="30"/>
                      <w:szCs w:val="30"/>
                    </w:rPr>
                    <m:t xml:space="preserve">1 + ecos(</m:t>
                  </m:r>
                  <m:r>
                    <w:rPr>
                      <w:rFonts w:ascii="Arial" w:cs="Arial" w:eastAsia="Arial" w:hAnsi="Arial"/>
                      <w:sz w:val="30"/>
                      <w:szCs w:val="30"/>
                    </w:rPr>
                    <m:t>θ</m:t>
                  </m:r>
                  <m:r>
                    <w:rPr>
                      <w:rFonts w:ascii="Arial" w:cs="Arial" w:eastAsia="Arial" w:hAnsi="Arial"/>
                      <w:sz w:val="30"/>
                      <w:szCs w:val="30"/>
                    </w:rPr>
                    <m:t xml:space="preserve">)</m:t>
                  </m:r>
                </m:num>
                <m:den>
                  <m:r>
                    <w:rPr>
                      <w:rFonts w:ascii="Arial" w:cs="Arial" w:eastAsia="Arial" w:hAnsi="Arial"/>
                      <w:sz w:val="30"/>
                      <w:szCs w:val="30"/>
                    </w:rPr>
                    <m:t xml:space="preserve">p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(1)</w:t>
            </w:r>
          </w:p>
        </w:tc>
      </w:tr>
    </w:tbl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Os valores de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𝝷 se referem ao semi latus-rectum e a anomalia verdadeira, respectivamente.</w:t>
      </w:r>
    </w:p>
    <w:tbl>
      <w:tblPr>
        <w:tblStyle w:val="Table2"/>
        <w:tblW w:w="8505.0" w:type="dxa"/>
        <w:jc w:val="left"/>
        <w:tblInd w:w="100.0" w:type="pct"/>
        <w:tblLayout w:type="fixed"/>
        <w:tblLook w:val="0600"/>
      </w:tblPr>
      <w:tblGrid>
        <w:gridCol w:w="975"/>
        <w:gridCol w:w="6720"/>
        <w:gridCol w:w="810"/>
        <w:tblGridChange w:id="0">
          <w:tblGrid>
            <w:gridCol w:w="975"/>
            <w:gridCol w:w="6720"/>
            <w:gridCol w:w="8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32"/>
                <w:szCs w:val="32"/>
              </w:rPr>
            </w:pPr>
            <m:oMath>
              <m:r>
                <w:rPr>
                  <w:rFonts w:ascii="Arial" w:cs="Arial" w:eastAsia="Arial" w:hAnsi="Arial"/>
                  <w:sz w:val="32"/>
                  <w:szCs w:val="32"/>
                </w:rPr>
                <m:t xml:space="preserve">h = </m:t>
              </m:r>
              <m:sSup>
                <m:sSupPr>
                  <m:ctrlPr>
                    <w:rPr>
                      <w:rFonts w:ascii="Arial" w:cs="Arial" w:eastAsia="Arial" w:hAnsi="Arial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Arial" w:cs="Arial" w:eastAsia="Arial" w:hAnsi="Arial"/>
                      <w:sz w:val="32"/>
                      <w:szCs w:val="32"/>
                    </w:rPr>
                    <m:t xml:space="preserve">r</m:t>
                  </m:r>
                </m:e>
                <m:sup>
                  <m:r>
                    <w:rPr>
                      <w:rFonts w:ascii="Arial" w:cs="Arial" w:eastAsia="Arial" w:hAnsi="Arial"/>
                      <w:sz w:val="32"/>
                      <w:szCs w:val="32"/>
                    </w:rPr>
                    <m:t xml:space="preserve">2</m:t>
                  </m:r>
                </m:sup>
              </m:sSup>
              <m:f>
                <m:fPr>
                  <m:ctrlPr>
                    <w:rPr>
                      <w:rFonts w:ascii="Arial" w:cs="Arial" w:eastAsia="Arial" w:hAnsi="Arial"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Arial" w:cs="Arial" w:eastAsia="Arial" w:hAnsi="Arial"/>
                      <w:sz w:val="32"/>
                      <w:szCs w:val="32"/>
                    </w:rPr>
                    <m:t>∂</m:t>
                  </m:r>
                  <m:r>
                    <w:rPr>
                      <w:rFonts w:ascii="Arial" w:cs="Arial" w:eastAsia="Arial" w:hAnsi="Arial"/>
                      <w:sz w:val="32"/>
                      <w:szCs w:val="32"/>
                    </w:rPr>
                    <m:t>θ</m:t>
                  </m:r>
                </m:num>
                <m:den>
                  <m:r>
                    <w:rPr>
                      <w:rFonts w:ascii="Arial" w:cs="Arial" w:eastAsia="Arial" w:hAnsi="Arial"/>
                      <w:sz w:val="32"/>
                      <w:szCs w:val="32"/>
                    </w:rPr>
                    <m:t>∂</m:t>
                  </m:r>
                  <m:r>
                    <w:rPr>
                      <w:rFonts w:ascii="Arial" w:cs="Arial" w:eastAsia="Arial" w:hAnsi="Arial"/>
                      <w:sz w:val="32"/>
                      <w:szCs w:val="32"/>
                    </w:rPr>
                    <m:t xml:space="preserve">t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(2)</w:t>
            </w:r>
          </w:p>
        </w:tc>
      </w:tr>
    </w:tbl>
    <w:p w:rsidR="00000000" w:rsidDel="00000000" w:rsidP="00000000" w:rsidRDefault="00000000" w:rsidRPr="00000000" w14:paraId="00000043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 que é possível reescrever o semi latus-rectum em termos do momento angular específico (</w:t>
      </w:r>
      <w:r w:rsidDel="00000000" w:rsidR="00000000" w:rsidRPr="00000000">
        <w:rPr>
          <w:rFonts w:ascii="Cambria Math" w:cs="Cambria Math" w:eastAsia="Cambria Math" w:hAnsi="Cambria Math"/>
          <w:b w:val="1"/>
          <w:sz w:val="24"/>
          <w:szCs w:val="24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e do parâmetro gravitacional (𝝁), ao solucionar o problema de dois corpos, é possível chegar a relação mostrada abaixo ao passo que separamos as variáveis e integramos de ambos os lados:</w:t>
      </w:r>
    </w:p>
    <w:tbl>
      <w:tblPr>
        <w:tblStyle w:val="Table3"/>
        <w:tblW w:w="8505.0" w:type="dxa"/>
        <w:jc w:val="left"/>
        <w:tblInd w:w="100.0" w:type="pct"/>
        <w:tblLayout w:type="fixed"/>
        <w:tblLook w:val="0600"/>
      </w:tblPr>
      <w:tblGrid>
        <w:gridCol w:w="1020"/>
        <w:gridCol w:w="6810"/>
        <w:gridCol w:w="675"/>
        <w:tblGridChange w:id="0">
          <w:tblGrid>
            <w:gridCol w:w="1020"/>
            <w:gridCol w:w="6810"/>
            <w:gridCol w:w="6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30"/>
                <w:szCs w:val="30"/>
              </w:rPr>
            </w:pPr>
            <m:oMath>
              <m:f>
                <m:num>
                  <m:sSup>
                    <m:sSupPr>
                      <m:ctrlPr>
                        <w:rPr>
                          <w:rFonts w:ascii="Arial" w:cs="Arial" w:eastAsia="Arial" w:hAnsi="Arial"/>
                          <w:sz w:val="30"/>
                          <w:szCs w:val="30"/>
                        </w:rPr>
                      </m:ctrlPr>
                    </m:sSupPr>
                    <m:e>
                      <m:r>
                        <m:t>μ</m:t>
                      </m:r>
                    </m:e>
                    <m:sup>
                      <m:r>
                        <w:rPr>
                          <w:rFonts w:ascii="Arial" w:cs="Arial" w:eastAsia="Arial" w:hAnsi="Arial"/>
                          <w:sz w:val="30"/>
                          <w:szCs w:val="30"/>
                        </w:rPr>
                        <m:t xml:space="preserve"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Arial" w:cs="Arial" w:eastAsia="Arial" w:hAnsi="Arial"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Arial" w:cs="Arial" w:eastAsia="Arial" w:hAnsi="Arial"/>
                          <w:sz w:val="30"/>
                          <w:szCs w:val="30"/>
                        </w:rPr>
                        <m:t xml:space="preserve">h</m:t>
                      </m:r>
                    </m:e>
                    <m:sup>
                      <m:r>
                        <w:rPr>
                          <w:rFonts w:ascii="Arial" w:cs="Arial" w:eastAsia="Arial" w:hAnsi="Arial"/>
                          <w:sz w:val="30"/>
                          <w:szCs w:val="30"/>
                        </w:rPr>
                        <m:t xml:space="preserve">3</m:t>
                      </m:r>
                    </m:sup>
                  </m:sSup>
                </m:den>
              </m:f>
              <m:d>
                <m:dPr>
                  <m:begChr m:val="("/>
                  <m:endChr m:val=")"/>
                  <m:ctrlPr>
                    <w:rPr>
                      <w:rFonts w:ascii="Arial" w:cs="Arial" w:eastAsia="Arial" w:hAnsi="Arial"/>
                      <w:sz w:val="30"/>
                      <w:szCs w:val="30"/>
                    </w:rPr>
                  </m:ctrlPr>
                </m:dPr>
                <m:e>
                  <m:r>
                    <w:rPr>
                      <w:rFonts w:ascii="Arial" w:cs="Arial" w:eastAsia="Arial" w:hAnsi="Arial"/>
                      <w:sz w:val="30"/>
                      <w:szCs w:val="30"/>
                    </w:rPr>
                    <m:t xml:space="preserve">t - </m:t>
                  </m:r>
                  <m:sSub>
                    <m:sSubPr>
                      <m:ctrlPr>
                        <w:rPr>
                          <w:rFonts w:ascii="Arial" w:cs="Arial" w:eastAsia="Arial" w:hAnsi="Arial"/>
                          <w:sz w:val="30"/>
                          <w:szCs w:val="30"/>
                        </w:rPr>
                      </m:ctrlPr>
                    </m:sSubPr>
                    <m:e>
                      <m:r>
                        <w:rPr>
                          <w:rFonts w:ascii="Arial" w:cs="Arial" w:eastAsia="Arial" w:hAnsi="Arial"/>
                          <w:sz w:val="30"/>
                          <w:szCs w:val="30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Arial" w:cs="Arial" w:eastAsia="Arial" w:hAnsi="Arial"/>
                          <w:sz w:val="30"/>
                          <w:szCs w:val="30"/>
                        </w:rPr>
                        <m:t xml:space="preserve">p</m:t>
                      </m:r>
                    </m:sub>
                  </m:sSub>
                </m:e>
              </m:d>
              <m:r>
                <w:rPr>
                  <w:rFonts w:ascii="Arial" w:cs="Arial" w:eastAsia="Arial" w:hAnsi="Arial"/>
                  <w:sz w:val="30"/>
                  <w:szCs w:val="30"/>
                </w:rPr>
                <m:t xml:space="preserve"> = </m:t>
              </m:r>
              <m:nary>
                <m:naryPr>
                  <m:chr m:val="∫"/>
                  <m:ctrlPr>
                    <w:rPr>
                      <w:rFonts w:ascii="Arial" w:cs="Arial" w:eastAsia="Arial" w:hAnsi="Arial"/>
                      <w:sz w:val="30"/>
                      <w:szCs w:val="30"/>
                    </w:rPr>
                  </m:ctrlPr>
                </m:naryPr>
                <m:sub>
                  <m:r>
                    <w:rPr>
                      <w:rFonts w:ascii="Arial" w:cs="Arial" w:eastAsia="Arial" w:hAnsi="Arial"/>
                      <w:sz w:val="30"/>
                      <w:szCs w:val="30"/>
                    </w:rPr>
                    <m:t xml:space="preserve">0</m:t>
                  </m:r>
                </m:sub>
                <m:sup>
                  <m:r>
                    <w:rPr>
                      <w:rFonts w:ascii="Arial" w:cs="Arial" w:eastAsia="Arial" w:hAnsi="Arial"/>
                      <w:sz w:val="30"/>
                      <w:szCs w:val="30"/>
                    </w:rPr>
                    <m:t>θ</m:t>
                  </m:r>
                </m:sup>
              </m:nary>
              <m:f>
                <m:fPr>
                  <m:ctrlPr>
                    <w:rPr>
                      <w:rFonts w:ascii="Arial" w:cs="Arial" w:eastAsia="Arial" w:hAnsi="Arial"/>
                      <w:sz w:val="30"/>
                      <w:szCs w:val="30"/>
                    </w:rPr>
                  </m:ctrlPr>
                </m:fPr>
                <m:num>
                  <m:r>
                    <w:rPr>
                      <w:rFonts w:ascii="Arial" w:cs="Arial" w:eastAsia="Arial" w:hAnsi="Arial"/>
                      <w:sz w:val="30"/>
                      <w:szCs w:val="30"/>
                    </w:rPr>
                    <m:t xml:space="preserve">d</m:t>
                  </m:r>
                  <m:r>
                    <w:rPr>
                      <w:rFonts w:ascii="Arial" w:cs="Arial" w:eastAsia="Arial" w:hAnsi="Arial"/>
                      <w:sz w:val="30"/>
                      <w:szCs w:val="30"/>
                    </w:rPr>
                    <m:t>θ</m:t>
                  </m:r>
                </m:num>
                <m:den>
                  <m:r>
                    <w:rPr>
                      <w:rFonts w:ascii="Arial" w:cs="Arial" w:eastAsia="Arial" w:hAnsi="Arial"/>
                      <w:sz w:val="30"/>
                      <w:szCs w:val="30"/>
                    </w:rPr>
                    <m:t xml:space="preserve">(1 + ecos</m:t>
                  </m:r>
                  <m:r>
                    <w:rPr>
                      <w:rFonts w:ascii="Arial" w:cs="Arial" w:eastAsia="Arial" w:hAnsi="Arial"/>
                      <w:sz w:val="30"/>
                      <w:szCs w:val="30"/>
                    </w:rPr>
                    <m:t>θ</m:t>
                  </m:r>
                  <m:sSup>
                    <m:sSupPr>
                      <m:ctrlPr>
                        <w:rPr>
                          <w:rFonts w:ascii="Arial" w:cs="Arial" w:eastAsia="Arial" w:hAnsi="Arial"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Arial" w:cs="Arial" w:eastAsia="Arial" w:hAnsi="Arial"/>
                          <w:sz w:val="30"/>
                          <w:szCs w:val="30"/>
                        </w:rPr>
                        <m:t xml:space="preserve">)</m:t>
                      </m:r>
                    </m:e>
                    <m:sup>
                      <m:r>
                        <w:rPr>
                          <w:rFonts w:ascii="Arial" w:cs="Arial" w:eastAsia="Arial" w:hAnsi="Arial"/>
                          <w:sz w:val="30"/>
                          <w:szCs w:val="30"/>
                        </w:rPr>
                        <m:t xml:space="preserve">2</m:t>
                      </m:r>
                    </m:sup>
                  </m:sSup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(3)</w:t>
            </w:r>
          </w:p>
        </w:tc>
      </w:tr>
    </w:tbl>
    <w:p w:rsidR="00000000" w:rsidDel="00000000" w:rsidP="00000000" w:rsidRDefault="00000000" w:rsidRPr="00000000" w14:paraId="00000049">
      <w:pPr>
        <w:spacing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que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subscript"/>
          <w:rtl w:val="0"/>
        </w:rPr>
        <w:t xml:space="preserve">p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 a constante de integração.</w:t>
      </w:r>
    </w:p>
    <w:p w:rsidR="00000000" w:rsidDel="00000000" w:rsidP="00000000" w:rsidRDefault="00000000" w:rsidRPr="00000000" w14:paraId="0000004B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integral do membro da direita pode ser resolvido seguindo modelos de solução, encontrados em manuais de matemática, como pode ser mostrado pela figura abaixo:</w:t>
      </w:r>
    </w:p>
    <w:p w:rsidR="00000000" w:rsidDel="00000000" w:rsidP="00000000" w:rsidRDefault="00000000" w:rsidRPr="00000000" w14:paraId="0000004C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492463" cy="156063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2463" cy="156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Figura 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Casos para solução da integral mostrada na equação 3 [1]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Dessa maneira, baseado na tabela 1 e comparando os valores a equação 1 podemos especificar cada tipo de solução ao respectivo tipo de órbita.</w:t>
      </w:r>
    </w:p>
    <w:tbl>
      <w:tblPr>
        <w:tblStyle w:val="Table4"/>
        <w:tblW w:w="8504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34.6666666666665"/>
        <w:gridCol w:w="2834.6666666666665"/>
        <w:gridCol w:w="2834.6666666666665"/>
        <w:tblGridChange w:id="0">
          <w:tblGrid>
            <w:gridCol w:w="2834.6666666666665"/>
            <w:gridCol w:w="2834.6666666666665"/>
            <w:gridCol w:w="2834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Energia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Excentricidade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Cônica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m:t>ε</m:t>
              </m:r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&lt; 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0 </m:t>
              </m:r>
              <m:r>
                <w:rPr>
                  <w:rFonts w:ascii="Arial" w:cs="Arial" w:eastAsia="Arial" w:hAnsi="Arial"/>
                  <w:sz w:val="24"/>
                  <w:szCs w:val="24"/>
                </w:rPr>
                <m:t>≤</m:t>
              </m:r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e &lt;1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Elipse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m:t>ε</m:t>
              </m:r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= 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e = 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Parábola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m:t>ε</m:t>
              </m:r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&gt; 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e &gt; 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Hipérbole</w:t>
            </w:r>
          </w:p>
        </w:tc>
      </w:tr>
    </w:tbl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Tabela 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Dados relativos à cônicas</w:t>
      </w:r>
    </w:p>
    <w:p w:rsidR="00000000" w:rsidDel="00000000" w:rsidP="00000000" w:rsidRDefault="00000000" w:rsidRPr="00000000" w14:paraId="0000005E">
      <w:pPr>
        <w:pStyle w:val="Heading2"/>
        <w:spacing w:line="360" w:lineRule="auto"/>
        <w:rPr/>
      </w:pPr>
      <w:bookmarkStart w:colFirst="0" w:colLast="0" w:name="_7wxlxjidp84p" w:id="2"/>
      <w:bookmarkEnd w:id="2"/>
      <w:r w:rsidDel="00000000" w:rsidR="00000000" w:rsidRPr="00000000">
        <w:rPr>
          <w:rtl w:val="0"/>
        </w:rPr>
        <w:t xml:space="preserve">2.1. Órbita Elíptica</w:t>
      </w:r>
    </w:p>
    <w:p w:rsidR="00000000" w:rsidDel="00000000" w:rsidP="00000000" w:rsidRDefault="00000000" w:rsidRPr="00000000" w14:paraId="0000005F">
      <w:pPr>
        <w:spacing w:line="360" w:lineRule="auto"/>
        <w:ind w:firstLine="72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Portanto, resolvendo a integral para o caso elíptico chegamos a seguinte relação para a anomalia média (M):</w:t>
      </w:r>
    </w:p>
    <w:tbl>
      <w:tblPr>
        <w:tblStyle w:val="Table5"/>
        <w:tblW w:w="10380.0" w:type="dxa"/>
        <w:jc w:val="left"/>
        <w:tblInd w:w="-950.0" w:type="dxa"/>
        <w:tblLayout w:type="fixed"/>
        <w:tblLook w:val="0600"/>
      </w:tblPr>
      <w:tblGrid>
        <w:gridCol w:w="615"/>
        <w:gridCol w:w="9135"/>
        <w:gridCol w:w="630"/>
        <w:tblGridChange w:id="0">
          <w:tblGrid>
            <w:gridCol w:w="615"/>
            <w:gridCol w:w="9135"/>
            <w:gridCol w:w="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M =</m:t>
              </m:r>
              <m:f>
                <m:f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>μ</m:t>
                      </m:r>
                    </m:e>
                    <m:sup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h</m:t>
                      </m:r>
                    </m:e>
                    <m:sup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3</m:t>
                      </m:r>
                    </m:sup>
                  </m:sSup>
                </m:den>
              </m:f>
              <m:d>
                <m:dPr>
                  <m:begChr m:val="("/>
                  <m:endChr m:val=")"/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t - </m:t>
                  </m:r>
                  <m:sSub>
                    <m:sSubPr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p</m:t>
                      </m:r>
                    </m:sub>
                  </m:sSub>
                </m:e>
              </m:d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= </m:t>
              </m:r>
              <m:f>
                <m:f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1</m:t>
                  </m:r>
                </m:num>
                <m:den>
                  <m:sSup>
                    <m:sSupPr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  <m:t xml:space="preserve">1-</m:t>
                          </m:r>
                          <m:sSup>
                            <m:sSupPr>
                              <m:ctrlPr>
                                <w:rPr>
                                  <w:rFonts w:ascii="Arial" w:cs="Arial" w:eastAsia="Arial" w:hAnsi="Arial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Arial" w:cs="Arial" w:eastAsia="Arial" w:hAnsi="Arial"/>
                                  <w:sz w:val="24"/>
                                  <w:szCs w:val="24"/>
                                </w:rPr>
                                <m:t xml:space="preserve">e</m:t>
                              </m:r>
                            </m:e>
                            <m:sup>
                              <m:r>
                                <w:rPr>
                                  <w:rFonts w:ascii="Arial" w:cs="Arial" w:eastAsia="Arial" w:hAnsi="Arial"/>
                                  <w:sz w:val="24"/>
                                  <w:szCs w:val="24"/>
                                </w:rPr>
                                <m:t xml:space="preserve"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3/2</m:t>
                      </m:r>
                    </m:sup>
                  </m:sSup>
                </m:den>
              </m:f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2 </m:t>
              </m:r>
              <m:sSup>
                <m:sSup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tan</m:t>
                  </m:r>
                </m:e>
                <m:sup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-1</m:t>
                  </m:r>
                </m:sup>
              </m:sSup>
              <m:d>
                <m:dPr>
                  <m:begChr m:val="("/>
                  <m:endChr m:val=")"/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radPr>
                    <m:e>
                      <m:f>
                        <m:fPr>
                          <m:ctrlP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  <m:t xml:space="preserve">1-e</m:t>
                          </m:r>
                        </m:num>
                        <m:den>
                          <m: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  <m:t xml:space="preserve">1+e</m:t>
                          </m:r>
                        </m:den>
                      </m:f>
                    </m:e>
                  </m:rad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 tan(</m:t>
                  </m:r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>θ</m:t>
                  </m:r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/2)</m:t>
                  </m:r>
                </m:e>
              </m:d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-</m:t>
              </m:r>
              <m:f>
                <m:f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e</m:t>
                  </m:r>
                  <m:rad>
                    <m:radPr>
                      <m:degHide m:val="1"/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radPr>
                    <m:e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1-</m:t>
                      </m:r>
                      <m:sSup>
                        <m:sSupPr>
                          <m:ctrlP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  <m:t xml:space="preserve">e</m:t>
                          </m:r>
                        </m:e>
                        <m:sup>
                          <m: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  <m:t xml:space="preserve">2</m:t>
                          </m:r>
                        </m:sup>
                      </m:sSup>
                    </m:e>
                  </m:rad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sin</m:t>
                  </m:r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>θ</m:t>
                  </m:r>
                </m:num>
                <m:den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1+ecos</m:t>
                  </m:r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>θ</m:t>
                  </m:r>
                </m:den>
              </m:f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(4)</w:t>
            </w:r>
          </w:p>
        </w:tc>
      </w:tr>
    </w:tbl>
    <w:p w:rsidR="00000000" w:rsidDel="00000000" w:rsidP="00000000" w:rsidRDefault="00000000" w:rsidRPr="00000000" w14:paraId="00000064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partir da análise geométrica [2,3] da Figura 2 chega-se-a nas relações entre as anomalias verdadeira (</w:t>
      </w:r>
      <m:oMath>
        <m:r>
          <m:t>θ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e excêntrica (E).</w:t>
      </w:r>
    </w:p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384873" cy="253333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4873" cy="2533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Figura 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Relações entre circunferência e elipse</w:t>
      </w:r>
    </w:p>
    <w:p w:rsidR="00000000" w:rsidDel="00000000" w:rsidP="00000000" w:rsidRDefault="00000000" w:rsidRPr="00000000" w14:paraId="00000069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505.0" w:type="dxa"/>
        <w:jc w:val="center"/>
        <w:tblLayout w:type="fixed"/>
        <w:tblLook w:val="0600"/>
      </w:tblPr>
      <w:tblGrid>
        <w:gridCol w:w="810"/>
        <w:gridCol w:w="7080"/>
        <w:gridCol w:w="615"/>
        <w:tblGridChange w:id="0">
          <w:tblGrid>
            <w:gridCol w:w="810"/>
            <w:gridCol w:w="7080"/>
            <w:gridCol w:w="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tan </m:t>
              </m:r>
              <m:f>
                <m:f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E</m:t>
                  </m:r>
                </m:num>
                <m:den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2</m:t>
                  </m:r>
                </m:den>
              </m:f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= </m:t>
              </m:r>
              <m:rad>
                <m:radPr>
                  <m:degHide m:val="1"/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radPr>
                <m:e>
                  <m:f>
                    <m:fPr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1 - e</m:t>
                      </m:r>
                    </m:num>
                    <m:den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1 + e</m:t>
                      </m:r>
                    </m:den>
                  </m:f>
                </m:e>
              </m:rad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tan</m:t>
              </m:r>
              <m:f>
                <m:f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>θ</m:t>
                  </m:r>
                </m:num>
                <m:den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(5)</w:t>
            </w:r>
          </w:p>
        </w:tc>
      </w:tr>
    </w:tbl>
    <w:p w:rsidR="00000000" w:rsidDel="00000000" w:rsidP="00000000" w:rsidRDefault="00000000" w:rsidRPr="00000000" w14:paraId="0000006D">
      <w:pPr>
        <w:spacing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505.0" w:type="dxa"/>
        <w:jc w:val="center"/>
        <w:tblLayout w:type="fixed"/>
        <w:tblLook w:val="0600"/>
      </w:tblPr>
      <w:tblGrid>
        <w:gridCol w:w="780"/>
        <w:gridCol w:w="7095"/>
        <w:gridCol w:w="630"/>
        <w:tblGridChange w:id="0">
          <w:tblGrid>
            <w:gridCol w:w="780"/>
            <w:gridCol w:w="7095"/>
            <w:gridCol w:w="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M = E</m:t>
              </m:r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- </m:t>
              </m:r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esinE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(6)</w:t>
            </w:r>
          </w:p>
        </w:tc>
      </w:tr>
    </w:tbl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spacing w:line="360" w:lineRule="auto"/>
        <w:rPr/>
      </w:pPr>
      <w:bookmarkStart w:colFirst="0" w:colLast="0" w:name="_r7bbqsj13hgi" w:id="3"/>
      <w:bookmarkEnd w:id="3"/>
      <w:r w:rsidDel="00000000" w:rsidR="00000000" w:rsidRPr="00000000">
        <w:rPr>
          <w:rtl w:val="0"/>
        </w:rPr>
        <w:t xml:space="preserve">2.2. Órbita Hiperbólica</w:t>
      </w:r>
    </w:p>
    <w:p w:rsidR="00000000" w:rsidDel="00000000" w:rsidP="00000000" w:rsidRDefault="00000000" w:rsidRPr="00000000" w14:paraId="00000073">
      <w:pPr>
        <w:spacing w:line="360" w:lineRule="auto"/>
        <w:ind w:firstLine="72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se tratando do caso hiperbólico, temos a seguinte solução:</w:t>
      </w:r>
    </w:p>
    <w:tbl>
      <w:tblPr>
        <w:tblStyle w:val="Table8"/>
        <w:tblW w:w="10380.0" w:type="dxa"/>
        <w:jc w:val="left"/>
        <w:tblInd w:w="-950.0" w:type="dxa"/>
        <w:tblLayout w:type="fixed"/>
        <w:tblLook w:val="0600"/>
      </w:tblPr>
      <w:tblGrid>
        <w:gridCol w:w="615"/>
        <w:gridCol w:w="9135"/>
        <w:gridCol w:w="630"/>
        <w:tblGridChange w:id="0">
          <w:tblGrid>
            <w:gridCol w:w="615"/>
            <w:gridCol w:w="9135"/>
            <w:gridCol w:w="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rPr>
                <w:rFonts w:ascii="Arial" w:cs="Arial" w:eastAsia="Arial" w:hAnsi="Arial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M =</m:t>
              </m:r>
              <m:f>
                <m:f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>μ</m:t>
                      </m:r>
                    </m:e>
                    <m:sup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h</m:t>
                      </m:r>
                    </m:e>
                    <m:sup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3</m:t>
                      </m:r>
                    </m:sup>
                  </m:sSup>
                </m:den>
              </m:f>
              <m:d>
                <m:dPr>
                  <m:begChr m:val="("/>
                  <m:endChr m:val=")"/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t - </m:t>
                  </m:r>
                  <m:sSub>
                    <m:sSubPr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p</m:t>
                      </m:r>
                    </m:sub>
                  </m:sSub>
                </m:e>
              </m:d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=</m:t>
              </m:r>
              <m:f>
                <m:f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esin</m:t>
                  </m:r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>θ</m:t>
                  </m:r>
                </m:num>
                <m:den>
                  <m:sSup>
                    <m:sSupPr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e</m:t>
                      </m:r>
                    </m:e>
                    <m:sup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2</m:t>
                      </m:r>
                    </m:sup>
                  </m:sSup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 -11 + ecos</m:t>
                  </m:r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>θ</m:t>
                  </m:r>
                </m:den>
              </m:f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- </m:t>
              </m:r>
              <m:f>
                <m:f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1</m:t>
                  </m:r>
                </m:num>
                <m:den>
                  <m:sSup>
                    <m:sSupPr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("/>
                          <m:endChr m:val=")"/>
                          <m:ctrlP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Arial" w:cs="Arial" w:eastAsia="Arial" w:hAnsi="Arial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Arial" w:cs="Arial" w:eastAsia="Arial" w:hAnsi="Arial"/>
                                  <w:sz w:val="24"/>
                                  <w:szCs w:val="24"/>
                                </w:rPr>
                                <m:t xml:space="preserve">e</m:t>
                              </m:r>
                            </m:e>
                            <m:sup>
                              <m:r>
                                <w:rPr>
                                  <w:rFonts w:ascii="Arial" w:cs="Arial" w:eastAsia="Arial" w:hAnsi="Arial"/>
                                  <w:sz w:val="24"/>
                                  <w:szCs w:val="24"/>
                                </w:rPr>
                                <m:t xml:space="preserve">2</m:t>
                              </m:r>
                            </m:sup>
                          </m:sSup>
                          <m: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  <m:t xml:space="preserve">-1</m:t>
                          </m:r>
                        </m:e>
                      </m:d>
                    </m:e>
                    <m:sup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3/2</m:t>
                      </m:r>
                    </m:sup>
                  </m:sSup>
                </m:den>
              </m:f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ln </m:t>
              </m:r>
              <m:d>
                <m:dPr>
                  <m:begChr m:val="["/>
                  <m:endChr m:val="]"/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</m:ctrlPr>
                        </m:radPr>
                        <m:e>
                          <m: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  <m:t xml:space="preserve">e+1</m:t>
                          </m:r>
                        </m:e>
                      </m:rad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+</m:t>
                      </m:r>
                      <m:rad>
                        <m:radPr>
                          <m:degHide m:val="1"/>
                          <m:ctrlP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</m:ctrlPr>
                        </m:radPr>
                        <m:e>
                          <m: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  <m:t xml:space="preserve">e-1</m:t>
                          </m:r>
                        </m:e>
                      </m:rad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 tan(</m:t>
                      </m:r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>θ</m:t>
                      </m:r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/2)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</m:ctrlPr>
                        </m:radPr>
                        <m:e>
                          <m: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  <m:t xml:space="preserve">e+1</m:t>
                          </m:r>
                        </m:e>
                      </m:rad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-</m:t>
                      </m:r>
                      <m:rad>
                        <m:radPr>
                          <m:degHide m:val="1"/>
                          <m:ctrlP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</m:ctrlPr>
                        </m:radPr>
                        <m:e>
                          <m:r>
                            <w:rPr>
                              <w:rFonts w:ascii="Arial" w:cs="Arial" w:eastAsia="Arial" w:hAnsi="Arial"/>
                              <w:sz w:val="24"/>
                              <w:szCs w:val="24"/>
                            </w:rPr>
                            <m:t xml:space="preserve">e-1</m:t>
                          </m:r>
                        </m:e>
                      </m:rad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 tan(</m:t>
                      </m:r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>θ</m:t>
                      </m:r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/2)</m:t>
                      </m:r>
                    </m:den>
                  </m:f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jc w:val="right"/>
              <w:rPr>
                <w:rFonts w:ascii="Arial" w:cs="Arial" w:eastAsia="Arial" w:hAnsi="Arial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(7)</w:t>
            </w:r>
          </w:p>
        </w:tc>
      </w:tr>
    </w:tbl>
    <w:p w:rsidR="00000000" w:rsidDel="00000000" w:rsidP="00000000" w:rsidRDefault="00000000" w:rsidRPr="00000000" w14:paraId="00000078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partir da análise geométrica [2,3] da Figura 3 chega-se-a nas relações entre a anomalias média e as anomalias verdadeira (</w:t>
      </w:r>
      <m:oMath>
        <m:r>
          <m:t>θ</m:t>
        </m:r>
      </m:oMath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e excêntrica (F).</w:t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401850" cy="277656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850" cy="277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Figura 3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- Relações geométrica na Hipérbole</w:t>
      </w:r>
    </w:p>
    <w:p w:rsidR="00000000" w:rsidDel="00000000" w:rsidP="00000000" w:rsidRDefault="00000000" w:rsidRPr="00000000" w14:paraId="0000007D">
      <w:pPr>
        <w:spacing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505.0" w:type="dxa"/>
        <w:jc w:val="center"/>
        <w:tblLayout w:type="fixed"/>
        <w:tblLook w:val="0600"/>
      </w:tblPr>
      <w:tblGrid>
        <w:gridCol w:w="810"/>
        <w:gridCol w:w="7080"/>
        <w:gridCol w:w="615"/>
        <w:tblGridChange w:id="0">
          <w:tblGrid>
            <w:gridCol w:w="810"/>
            <w:gridCol w:w="7080"/>
            <w:gridCol w:w="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tan </m:t>
              </m:r>
              <m:f>
                <m:f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>θ</m:t>
                  </m:r>
                </m:num>
                <m:den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2</m:t>
                  </m:r>
                </m:den>
              </m:f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= </m:t>
              </m:r>
              <m:rad>
                <m:radPr>
                  <m:degHide m:val="1"/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radPr>
                <m:e>
                  <m:f>
                    <m:fPr>
                      <m:ctrlP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e+1</m:t>
                      </m:r>
                    </m:num>
                    <m:den>
                      <m:r>
                        <w:rPr>
                          <w:rFonts w:ascii="Arial" w:cs="Arial" w:eastAsia="Arial" w:hAnsi="Arial"/>
                          <w:sz w:val="24"/>
                          <w:szCs w:val="24"/>
                        </w:rPr>
                        <m:t xml:space="preserve">e-1</m:t>
                      </m:r>
                    </m:den>
                  </m:f>
                </m:e>
              </m:rad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tanh</m:t>
              </m:r>
              <m:f>
                <m:f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F</m:t>
                  </m:r>
                </m:num>
                <m:den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after="0" w:lin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(8)</w:t>
            </w:r>
          </w:p>
        </w:tc>
      </w:tr>
    </w:tbl>
    <w:p w:rsidR="00000000" w:rsidDel="00000000" w:rsidP="00000000" w:rsidRDefault="00000000" w:rsidRPr="00000000" w14:paraId="00000081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505.0" w:type="dxa"/>
        <w:jc w:val="center"/>
        <w:tblLayout w:type="fixed"/>
        <w:tblLook w:val="0600"/>
      </w:tblPr>
      <w:tblGrid>
        <w:gridCol w:w="780"/>
        <w:gridCol w:w="7095"/>
        <w:gridCol w:w="630"/>
        <w:tblGridChange w:id="0">
          <w:tblGrid>
            <w:gridCol w:w="780"/>
            <w:gridCol w:w="7095"/>
            <w:gridCol w:w="6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M = </m:t>
              </m:r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esinhF</m:t>
              </m:r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- F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0" w:line="240" w:lineRule="auto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(9)</w:t>
            </w:r>
          </w:p>
        </w:tc>
      </w:tr>
    </w:tbl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spacing w:line="360" w:lineRule="auto"/>
        <w:jc w:val="both"/>
        <w:rPr>
          <w:rFonts w:ascii="Arial" w:cs="Arial" w:eastAsia="Arial" w:hAnsi="Arial"/>
          <w:sz w:val="28"/>
          <w:szCs w:val="28"/>
        </w:rPr>
      </w:pPr>
      <w:bookmarkStart w:colFirst="0" w:colLast="0" w:name="_gjdgxs" w:id="4"/>
      <w:bookmarkEnd w:id="4"/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3. Descrição Numérica</w:t>
      </w:r>
    </w:p>
    <w:p w:rsidR="00000000" w:rsidDel="00000000" w:rsidP="00000000" w:rsidRDefault="00000000" w:rsidRPr="00000000" w14:paraId="00000088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forma de boa prática e para facilitar o acesso à informação, além de melhorar a usabilidade, segue abaixo o fluxograma de processos a qual representa de maneira completa, o processo computacional a qual usa-se a linguagem de programação Octave pela plataforma “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www.octave-online.net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” [4].</w:t>
      </w:r>
    </w:p>
    <w:p w:rsidR="00000000" w:rsidDel="00000000" w:rsidP="00000000" w:rsidRDefault="00000000" w:rsidRPr="00000000" w14:paraId="00000089">
      <w:pPr>
        <w:spacing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melhor resolução, vide anexo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360" w:lineRule="auto"/>
        <w:ind w:left="-1275.5905511811022" w:right="-1117.7952755905512" w:firstLine="0"/>
        <w:jc w:val="center"/>
        <w:rPr>
          <w:rFonts w:ascii="Arial" w:cs="Arial" w:eastAsia="Arial" w:hAnsi="Arial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u w:val="single"/>
        </w:rPr>
        <w:drawing>
          <wp:inline distB="114300" distT="114300" distL="114300" distR="114300">
            <wp:extent cx="6040804" cy="820833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549" t="451"/>
                    <a:stretch>
                      <a:fillRect/>
                    </a:stretch>
                  </pic:blipFill>
                  <pic:spPr>
                    <a:xfrm>
                      <a:off x="0" y="0"/>
                      <a:ext cx="6040804" cy="82083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360" w:lineRule="auto"/>
        <w:jc w:val="center"/>
        <w:rPr>
          <w:rFonts w:ascii="Arial" w:cs="Arial" w:eastAsia="Arial" w:hAnsi="Arial"/>
          <w:i w:val="1"/>
          <w:sz w:val="24"/>
          <w:szCs w:val="24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Fluxograma 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Processos e modularização do </w:t>
      </w:r>
      <w:r w:rsidDel="00000000" w:rsidR="00000000" w:rsidRPr="00000000">
        <w:rPr>
          <w:rFonts w:ascii="Arial" w:cs="Arial" w:eastAsia="Arial" w:hAnsi="Arial"/>
          <w:i w:val="1"/>
          <w:sz w:val="24"/>
          <w:szCs w:val="24"/>
          <w:rtl w:val="0"/>
        </w:rPr>
        <w:t xml:space="preserve">Script [5]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3098755" cy="8285192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1480"/>
                    <a:stretch>
                      <a:fillRect/>
                    </a:stretch>
                  </pic:blipFill>
                  <pic:spPr>
                    <a:xfrm>
                      <a:off x="0" y="0"/>
                      <a:ext cx="3098755" cy="8285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Fluxograma 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Processo lógico para o cálculo das anomalias [5]</w:t>
      </w:r>
    </w:p>
    <w:p w:rsidR="00000000" w:rsidDel="00000000" w:rsidP="00000000" w:rsidRDefault="00000000" w:rsidRPr="00000000" w14:paraId="0000008E">
      <w:pPr>
        <w:pStyle w:val="Heading1"/>
        <w:spacing w:after="0" w:line="360" w:lineRule="auto"/>
        <w:jc w:val="both"/>
        <w:rPr>
          <w:vertAlign w:val="baseline"/>
        </w:rPr>
      </w:pPr>
      <w:bookmarkStart w:colFirst="0" w:colLast="0" w:name="_oms6jptnipek" w:id="5"/>
      <w:bookmarkEnd w:id="5"/>
      <w:r w:rsidDel="00000000" w:rsidR="00000000" w:rsidRPr="00000000">
        <w:rPr>
          <w:vertAlign w:val="baseline"/>
          <w:rtl w:val="0"/>
        </w:rPr>
        <w:t xml:space="preserve">4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vertAlign w:val="baseline"/>
          <w:rtl w:val="0"/>
        </w:rPr>
        <w:t xml:space="preserve">Resultados e discussões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spacing w:after="0" w:line="360" w:lineRule="auto"/>
        <w:jc w:val="both"/>
        <w:rPr/>
      </w:pPr>
      <w:bookmarkStart w:colFirst="0" w:colLast="0" w:name="_7tgy3cki63wu" w:id="6"/>
      <w:bookmarkEnd w:id="6"/>
      <w:r w:rsidDel="00000000" w:rsidR="00000000" w:rsidRPr="00000000">
        <w:rPr>
          <w:rtl w:val="0"/>
        </w:rPr>
        <w:t xml:space="preserve">4.1. Primeira Parte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tópico se faz necessário analisar a relação entre as anomalias verdadeira, excêntrica e média, de maneira que foi realizada a análise para o seguintes valores de excentricidade: 0,01 ; 0,3 ;  0,6 e 0,9.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116350" cy="397075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6350" cy="3970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Gráfico 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Relação entre as anomalias média e excêntrica</w:t>
      </w:r>
    </w:p>
    <w:p w:rsidR="00000000" w:rsidDel="00000000" w:rsidP="00000000" w:rsidRDefault="00000000" w:rsidRPr="00000000" w14:paraId="00000095">
      <w:pPr>
        <w:spacing w:after="0"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154552" cy="3953192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4552" cy="3953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Gráfico 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Relação entre as anomalias média e verdadeira</w:t>
      </w:r>
    </w:p>
    <w:p w:rsidR="00000000" w:rsidDel="00000000" w:rsidP="00000000" w:rsidRDefault="00000000" w:rsidRPr="00000000" w14:paraId="0000009A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4127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Gráfico 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Relação entre as anomalias excêntrica e verdadeira</w:t>
      </w:r>
    </w:p>
    <w:p w:rsidR="00000000" w:rsidDel="00000000" w:rsidP="00000000" w:rsidRDefault="00000000" w:rsidRPr="00000000" w14:paraId="0000009E">
      <w:pPr>
        <w:spacing w:after="0" w:line="360" w:lineRule="auto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Partindo do fato que a anomalia excêntrica foi obtida a fim de aproximar uma órbita elíptica ou hiperbólica para uma circular, é possível aferir que para baixas excentricidades, bem próxima de uma órbita circular, este fato se faz presente e temos uma relação linear entre as anomalias, contudo ao passo que aumentamos a excentricidade, as anomalias perdem essa linearidade entre si e destoam com maior grau em pontos mais longínquos no eixo vertical.</w:t>
      </w:r>
    </w:p>
    <w:p w:rsidR="00000000" w:rsidDel="00000000" w:rsidP="00000000" w:rsidRDefault="00000000" w:rsidRPr="00000000" w14:paraId="000000A0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648317" cy="22955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79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8317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Figura 4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Relação geométrica entre a anomalia verdadeira (verde) e excêntrica (amarela)</w:t>
      </w:r>
    </w:p>
    <w:p w:rsidR="00000000" w:rsidDel="00000000" w:rsidP="00000000" w:rsidRDefault="00000000" w:rsidRPr="00000000" w14:paraId="000000A2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interessante é que ao se olhar, principalmente para uma órbita elíptica, a relação entre energia cinética e potencial é muito mais variável ao ponto que a excentricidade aumenta, correlacionando fisicamente o equacionamento geométrico pelas grandezas: velocidade, energia e anomalia.</w:t>
      </w:r>
    </w:p>
    <w:p w:rsidR="00000000" w:rsidDel="00000000" w:rsidP="00000000" w:rsidRDefault="00000000" w:rsidRPr="00000000" w14:paraId="000000A4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anomalia média, é um equacionamento a qual transforma a velocidade variável da órbita elíptica em uma velocidade angular constante, para tanto, esta anomalia possui em sua essência, algo como a distorção do percurso real, ficando para trás perto do pericentro e a frente no apocentro, sendo denominado como o fluxo que se estende ao longo da órbita com o tempo.</w:t>
      </w:r>
    </w:p>
    <w:p w:rsidR="00000000" w:rsidDel="00000000" w:rsidP="00000000" w:rsidRDefault="00000000" w:rsidRPr="00000000" w14:paraId="000000A5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360" w:lineRule="auto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spacing w:after="0" w:line="360" w:lineRule="auto"/>
        <w:rPr/>
      </w:pPr>
      <w:bookmarkStart w:colFirst="0" w:colLast="0" w:name="_uxzg06l4hexk" w:id="7"/>
      <w:bookmarkEnd w:id="7"/>
      <w:r w:rsidDel="00000000" w:rsidR="00000000" w:rsidRPr="00000000">
        <w:rPr>
          <w:rtl w:val="0"/>
        </w:rPr>
        <w:t xml:space="preserve">4.2. Segunda Parte</w:t>
      </w:r>
    </w:p>
    <w:p w:rsidR="00000000" w:rsidDel="00000000" w:rsidP="00000000" w:rsidRDefault="00000000" w:rsidRPr="00000000" w14:paraId="000000A8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Neste segundo momento tomamos nosso tempo, para realizar o processo computacional, ou seja, realizar o procedimento de se obter a anomalia excêntrica e verdadeira, se utilizando do método de Newton-Raphson, tendo como dados de entrada a anomalia média e a excentricidade.</w:t>
      </w:r>
    </w:p>
    <w:p w:rsidR="00000000" w:rsidDel="00000000" w:rsidP="00000000" w:rsidRDefault="00000000" w:rsidRPr="00000000" w14:paraId="000000A9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Importante ressaltar que para o método mencionado se faz preciso obter um valor inicial e para tanto foi imposta a seguinte condição:</w:t>
      </w:r>
    </w:p>
    <w:p w:rsidR="00000000" w:rsidDel="00000000" w:rsidP="00000000" w:rsidRDefault="00000000" w:rsidRPr="00000000" w14:paraId="000000AA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505.0" w:type="dxa"/>
        <w:jc w:val="left"/>
        <w:tblInd w:w="100.0" w:type="pct"/>
        <w:tblLayout w:type="fixed"/>
        <w:tblLook w:val="0600"/>
      </w:tblPr>
      <w:tblGrid>
        <w:gridCol w:w="615"/>
        <w:gridCol w:w="7125"/>
        <w:gridCol w:w="765"/>
        <w:tblGridChange w:id="0">
          <w:tblGrid>
            <w:gridCol w:w="615"/>
            <w:gridCol w:w="7125"/>
            <w:gridCol w:w="7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se M &lt; </m:t>
              </m:r>
              <m:r>
                <w:rPr>
                  <w:rFonts w:ascii="Arial" w:cs="Arial" w:eastAsia="Arial" w:hAnsi="Arial"/>
                  <w:sz w:val="24"/>
                  <w:szCs w:val="24"/>
                </w:rPr>
                <m:t>π</m:t>
              </m:r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:</m:t>
              </m:r>
              <m:sSub>
                <m:sSub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x</m:t>
                  </m:r>
                </m:e>
                <m:sub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= M + </m:t>
              </m:r>
              <m:f>
                <m:f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e</m:t>
                  </m:r>
                </m:num>
                <m:den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2</m:t>
                  </m:r>
                </m:den>
              </m:f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;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m:oMath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caso contrário: </m:t>
              </m:r>
              <m:sSub>
                <m:sSub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x</m:t>
                  </m:r>
                </m:e>
                <m:sub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0</m:t>
                  </m:r>
                </m:sub>
              </m:sSub>
              <m:r>
                <w:rPr>
                  <w:rFonts w:ascii="Arial" w:cs="Arial" w:eastAsia="Arial" w:hAnsi="Arial"/>
                  <w:sz w:val="24"/>
                  <w:szCs w:val="24"/>
                </w:rPr>
                <m:t xml:space="preserve"> = M - </m:t>
              </m:r>
              <m:f>
                <m:fPr>
                  <m:ctrlPr>
                    <w:rPr>
                      <w:rFonts w:ascii="Arial" w:cs="Arial" w:eastAsia="Arial" w:hAnsi="Arial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e</m:t>
                  </m:r>
                </m:num>
                <m:den>
                  <m:r>
                    <w:rPr>
                      <w:rFonts w:ascii="Arial" w:cs="Arial" w:eastAsia="Arial" w:hAnsi="Arial"/>
                      <w:sz w:val="24"/>
                      <w:szCs w:val="24"/>
                    </w:rPr>
                    <m:t xml:space="preserve">2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(10)</w:t>
            </w:r>
          </w:p>
        </w:tc>
      </w:tr>
    </w:tbl>
    <w:p w:rsidR="00000000" w:rsidDel="00000000" w:rsidP="00000000" w:rsidRDefault="00000000" w:rsidRPr="00000000" w14:paraId="000000B0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3"/>
        <w:spacing w:after="0" w:line="360" w:lineRule="auto"/>
        <w:ind w:firstLine="720"/>
        <w:jc w:val="both"/>
        <w:rPr/>
      </w:pPr>
      <w:bookmarkStart w:colFirst="0" w:colLast="0" w:name="_gmwh8s70c2w0" w:id="8"/>
      <w:bookmarkEnd w:id="8"/>
      <w:r w:rsidDel="00000000" w:rsidR="00000000" w:rsidRPr="00000000">
        <w:rPr>
          <w:rtl w:val="0"/>
        </w:rPr>
        <w:t xml:space="preserve">4.2.1. Elipse</w:t>
      </w:r>
    </w:p>
    <w:p w:rsidR="00000000" w:rsidDel="00000000" w:rsidP="00000000" w:rsidRDefault="00000000" w:rsidRPr="00000000" w14:paraId="000000B3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problema para o caso elíptico tem os seguintes dados de entrada: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M = 206,431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&amp;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e = 0,37225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4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506.66666666666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46.666666666667"/>
        <w:gridCol w:w="3201.666666666667"/>
        <w:gridCol w:w="3458.333333333333"/>
        <w:tblGridChange w:id="0">
          <w:tblGrid>
            <w:gridCol w:w="1846.666666666667"/>
            <w:gridCol w:w="3201.666666666667"/>
            <w:gridCol w:w="3458.333333333333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206,431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Anomalia Média [graus]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0,37255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Excentricidade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Saída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199,356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Anomalia Excêntrica [graus]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-166,845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Anomalia Verdadeira [graus]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3,26e-10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 relativo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Iterações</w:t>
            </w:r>
          </w:p>
        </w:tc>
      </w:tr>
    </w:tbl>
    <w:p w:rsidR="00000000" w:rsidDel="00000000" w:rsidP="00000000" w:rsidRDefault="00000000" w:rsidRPr="00000000" w14:paraId="000000CA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360" w:lineRule="auto"/>
        <w:ind w:firstLine="72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Tabela 2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Dados gerais de entrada e saída do problema</w:t>
      </w:r>
    </w:p>
    <w:p w:rsidR="00000000" w:rsidDel="00000000" w:rsidP="00000000" w:rsidRDefault="00000000" w:rsidRPr="00000000" w14:paraId="000000CC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a anomalia verdadeira, ao padronizar o dado, temos 193,155 graus. Dada a excentricidade, a anomalia média está à frente, tanto da anomalia verdadeira, quanto da excêntrica e isso se dá pela baixa energia cinética próximo do apocentro. Já as anomalias verdadeiras e excêntricas têm uma variação de 6,201 graus entre si, pois em sua relação geométrica, os dois extremos horizontais são pontos aos quais a variação chega a zero.</w:t>
      </w:r>
    </w:p>
    <w:p w:rsidR="00000000" w:rsidDel="00000000" w:rsidP="00000000" w:rsidRDefault="00000000" w:rsidRPr="00000000" w14:paraId="000000CE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spacing w:after="0" w:line="360" w:lineRule="auto"/>
        <w:ind w:firstLine="720"/>
        <w:jc w:val="both"/>
        <w:rPr/>
      </w:pPr>
      <w:bookmarkStart w:colFirst="0" w:colLast="0" w:name="_tfcb3hxwir4v" w:id="9"/>
      <w:bookmarkEnd w:id="9"/>
      <w:r w:rsidDel="00000000" w:rsidR="00000000" w:rsidRPr="00000000">
        <w:rPr>
          <w:rtl w:val="0"/>
        </w:rPr>
        <w:t xml:space="preserve">4.2.2. Hipérbole</w:t>
      </w:r>
    </w:p>
    <w:p w:rsidR="00000000" w:rsidDel="00000000" w:rsidP="00000000" w:rsidRDefault="00000000" w:rsidRPr="00000000" w14:paraId="000000D2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problema para o caso hiperbólico tem os seguintes dados de entrada: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M = 40,69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&amp;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e = 2,7696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3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8511.66666666666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36.6666666666665"/>
        <w:gridCol w:w="3266.666666666667"/>
        <w:gridCol w:w="3408.333333333334"/>
        <w:tblGridChange w:id="0">
          <w:tblGrid>
            <w:gridCol w:w="1836.6666666666665"/>
            <w:gridCol w:w="3266.666666666667"/>
            <w:gridCol w:w="3408.333333333334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40,69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Anomalia Média [graus]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2,7696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Excentricidade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Saída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22,1267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Anomalia Excêntrica [graus]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31,1112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Anomalia Verdadeira [graus]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4,31e-16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Erro relativo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Iterações</w:t>
            </w:r>
          </w:p>
        </w:tc>
      </w:tr>
    </w:tbl>
    <w:p w:rsidR="00000000" w:rsidDel="00000000" w:rsidP="00000000" w:rsidRDefault="00000000" w:rsidRPr="00000000" w14:paraId="000000E9">
      <w:pPr>
        <w:spacing w:after="0" w:line="360" w:lineRule="auto"/>
        <w:ind w:firstLine="72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360" w:lineRule="auto"/>
        <w:ind w:firstLine="720"/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Tabela 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- Dados gerais de entrada e saída do problema</w:t>
      </w:r>
    </w:p>
    <w:p w:rsidR="00000000" w:rsidDel="00000000" w:rsidP="00000000" w:rsidRDefault="00000000" w:rsidRPr="00000000" w14:paraId="000000EB">
      <w:pPr>
        <w:spacing w:after="0" w:line="360" w:lineRule="auto"/>
        <w:ind w:firstLine="72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36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 xml:space="preserve">Assim como foi relatado na primeira parte, conforme aumentamos a excentricidade, mais variação teremos ao longo do eixos, entre o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apocentro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pericentro,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se tratando de uma hipérbole, esse fator é aumentado, assim há grandes variações entre os ângulos obtidos, conforme é exposto pelos dados adquiridos no processo computacional, em que temos variações que se aproximam de 20 graus entre a anomalia média e a excêntrica.</w:t>
      </w:r>
    </w:p>
    <w:p w:rsidR="00000000" w:rsidDel="00000000" w:rsidP="00000000" w:rsidRDefault="00000000" w:rsidRPr="00000000" w14:paraId="000000ED">
      <w:pPr>
        <w:spacing w:after="0" w:line="360" w:lineRule="auto"/>
        <w:ind w:left="0"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Um fato curioso é o valor de entrada para a anomalia média, que está dentro do primeiro quadrante pois não existem soluções no apocentro, dado que uma hipérbole não é uma órbita fechada e sim uma órbita temporária.</w:t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1"/>
        <w:spacing w:after="0" w:line="240" w:lineRule="auto"/>
        <w:jc w:val="both"/>
        <w:rPr/>
      </w:pPr>
      <w:bookmarkStart w:colFirst="0" w:colLast="0" w:name="_ukjyupd0h4f4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1"/>
        <w:spacing w:after="0" w:line="240" w:lineRule="auto"/>
        <w:jc w:val="both"/>
        <w:rPr/>
      </w:pPr>
      <w:bookmarkStart w:colFirst="0" w:colLast="0" w:name="_eglk66oc5zzi" w:id="11"/>
      <w:bookmarkEnd w:id="11"/>
      <w:r w:rsidDel="00000000" w:rsidR="00000000" w:rsidRPr="00000000">
        <w:rPr>
          <w:rtl w:val="0"/>
        </w:rPr>
        <w:t xml:space="preserve">5. Conclusão </w:t>
      </w:r>
    </w:p>
    <w:p w:rsidR="00000000" w:rsidDel="00000000" w:rsidP="00000000" w:rsidRDefault="00000000" w:rsidRPr="00000000" w14:paraId="000000F1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 a análise gráfica na primeira parte do presente trabalho, corroborando com a saída de dados da elipse, na segunda parte, se faz satisfeito o estudo aqui empregado. Todos os resultados obtidos possuem sentido físico adequado e confirmam todas as previsões, além de possuírem baixos erros relativos, podendo ser aproximados para zero. Vale ressaltar que para a rotina de conversão de anomalias, os dados foram previamente validados usando sites de terceiros [6], e seus resultados são satisfatórios.</w:t>
      </w:r>
    </w:p>
    <w:p w:rsidR="00000000" w:rsidDel="00000000" w:rsidP="00000000" w:rsidRDefault="00000000" w:rsidRPr="00000000" w14:paraId="000000F3">
      <w:pPr>
        <w:spacing w:after="0" w:line="360" w:lineRule="auto"/>
        <w:ind w:firstLine="72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spacing w:after="0" w:line="240" w:lineRule="auto"/>
        <w:jc w:val="both"/>
        <w:rPr/>
      </w:pPr>
      <w:bookmarkStart w:colFirst="0" w:colLast="0" w:name="_q4sylmx1fa3y" w:id="12"/>
      <w:bookmarkEnd w:id="12"/>
      <w:r w:rsidDel="00000000" w:rsidR="00000000" w:rsidRPr="00000000">
        <w:rPr>
          <w:rtl w:val="0"/>
        </w:rPr>
        <w:t xml:space="preserve">6. Referências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[1] - CURTIS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Howard D.. Orbital Mechanics for Engineering Students. Quarta Edição. Daytona Beach, Florida: Elsevier Ltd., 2019.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[2] - PEET. Matthew. Spacecraft Dynamics and Control. Disponível em: &lt;</w:t>
      </w:r>
      <w:hyperlink r:id="rId1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http://control.asu.edu/Classes/MAE462/462Lecture05.pdf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&gt;. Acesso em 7 de outubro de 2021.</w:t>
      </w:r>
    </w:p>
    <w:p w:rsidR="00000000" w:rsidDel="00000000" w:rsidP="00000000" w:rsidRDefault="00000000" w:rsidRPr="00000000" w14:paraId="000000FA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[3] - FOWLER. Michael. Mathematics for Orbits. Disponível em: &lt;</w:t>
      </w:r>
      <w:hyperlink r:id="rId18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https://galileoandeinstein.phys.virginia.edu/7010/CM_14_Math_for_Orbits.html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&gt;. Acesso em 7 de outubro de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[4] - Octave Online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Disponível em: &lt;</w:t>
      </w:r>
      <w:hyperlink r:id="rId19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https://octave-online.net/#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&gt;. Acesso em: 03 de outubro de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[5] -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Diagrams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Disponível em: &lt;</w:t>
      </w:r>
      <w:hyperlink r:id="rId2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highlight w:val="white"/>
            <w:u w:val="single"/>
            <w:rtl w:val="0"/>
          </w:rPr>
          <w:t xml:space="preserve">https://app.diagrams.net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&gt;. Acesso em: 12 de outubro de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[6] - GIESEN, Jurgen. Solving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Kepler’s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Equation of Ellipitical Motion. Disponivel em: &lt;</w:t>
      </w:r>
      <w:hyperlink r:id="rId21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http://www.jgiesen.de/kepler/kepler.html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&gt;. Acesso em 12 de outubro de 2021.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700.787401574803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0" w:line="360" w:lineRule="auto"/>
      <w:jc w:val="both"/>
    </w:pPr>
    <w:rPr>
      <w:rFonts w:ascii="Arial" w:cs="Arial" w:eastAsia="Arial" w:hAnsi="Arial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</w:pPr>
    <w:rPr>
      <w:rFonts w:ascii="Arial" w:cs="Arial" w:eastAsia="Arial" w:hAnsi="Arial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="360" w:lineRule="auto"/>
      <w:ind w:firstLine="720"/>
      <w:jc w:val="both"/>
    </w:pPr>
    <w:rPr>
      <w:rFonts w:ascii="Arial" w:cs="Arial" w:eastAsia="Arial" w:hAnsi="Arial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app.diagrams.net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://www.octave-online.net" TargetMode="External"/><Relationship Id="rId21" Type="http://schemas.openxmlformats.org/officeDocument/2006/relationships/hyperlink" Target="http://www.jgiesen.de/kepler/kepler.html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hyperlink" Target="http://control.asu.edu/Classes/MAE462/462Lecture05.pdf" TargetMode="Externa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yperlink" Target="https://octave-online.net/#" TargetMode="External"/><Relationship Id="rId6" Type="http://schemas.openxmlformats.org/officeDocument/2006/relationships/image" Target="media/image9.png"/><Relationship Id="rId18" Type="http://schemas.openxmlformats.org/officeDocument/2006/relationships/hyperlink" Target="https://galileoandeinstein.phys.virginia.edu/7010/CM_14_Math_for_Orbits.html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