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 xml:space="preserve">comercial entre duas empresas (Business </w:t>
            </w:r>
            <w:proofErr w:type="spellStart"/>
            <w:r>
              <w:rPr>
                <w:rFonts w:cs="Arial"/>
              </w:rPr>
              <w:t>to</w:t>
            </w:r>
            <w:proofErr w:type="spellEnd"/>
            <w:r>
              <w:rPr>
                <w:rFonts w:cs="Arial"/>
              </w:rPr>
              <w:t xml:space="preserve">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 xml:space="preserve">ness </w:t>
            </w:r>
            <w:proofErr w:type="spellStart"/>
            <w:r>
              <w:rPr>
                <w:rFonts w:cs="Arial"/>
              </w:rPr>
              <w:t>to</w:t>
            </w:r>
            <w:proofErr w:type="spellEnd"/>
            <w:r>
              <w:rPr>
                <w:rFonts w:cs="Arial"/>
              </w:rPr>
              <w:t xml:space="preserve"> </w:t>
            </w:r>
            <w:proofErr w:type="spellStart"/>
            <w:r>
              <w:rPr>
                <w:rFonts w:cs="Arial"/>
              </w:rPr>
              <w:t>C</w:t>
            </w:r>
            <w:r w:rsidRPr="009733EE">
              <w:rPr>
                <w:rFonts w:cs="Arial"/>
              </w:rPr>
              <w:t>onsumer</w:t>
            </w:r>
            <w:proofErr w:type="spellEnd"/>
            <w:r w:rsidRPr="009733EE">
              <w:rPr>
                <w:rFonts w:cs="Arial"/>
              </w:rPr>
              <w:t xml:space="preserve">).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w:t>
            </w:r>
            <w:proofErr w:type="spellStart"/>
            <w:r>
              <w:rPr>
                <w:rFonts w:cs="Arial"/>
              </w:rPr>
              <w:t>Consumer</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B2E6D">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B2E6D">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B2E6D">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5B2E6D">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B2E6D">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B2E6D">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5B2E6D">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5B2E6D">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5B2E6D">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5B2E6D">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5B2E6D">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B6272E" w:rsidRPr="00B6272E" w:rsidRDefault="00B6272E" w:rsidP="007842EA">
      <w:pPr>
        <w:pStyle w:val="Corpo"/>
        <w:ind w:firstLine="0"/>
      </w:pPr>
      <w:r>
        <w:t>No capítulo 2 foi feito os conceitos gerais e revisão da literatura, onde foi falado sobre o e-commerce e sobre os trabalhos correlatos.</w:t>
      </w:r>
    </w:p>
    <w:p w:rsidR="00837F04" w:rsidRDefault="00837F04" w:rsidP="007842EA">
      <w:pPr>
        <w:pStyle w:val="Corpo"/>
        <w:ind w:firstLine="0"/>
      </w:pP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O QUE É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proofErr w:type="spellStart"/>
      <w:r w:rsidR="00873387">
        <w:t>tri</w:t>
      </w:r>
      <w:r>
        <w:t>ilhões</w:t>
      </w:r>
      <w:proofErr w:type="spellEnd"/>
      <w:r>
        <w:t xml:space="preserve"> em todo o mundo, </w:t>
      </w:r>
      <w:r w:rsidR="00D85F8F">
        <w:t>um exemplo pode ser visto no gráfico abaixo:</w:t>
      </w:r>
    </w:p>
    <w:p w:rsidR="00D85F8F" w:rsidRDefault="001F74A3"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837F04"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lastRenderedPageBreak/>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837F04" w:rsidRDefault="00D2354F" w:rsidP="007842EA">
      <w:pPr>
        <w:pStyle w:val="Corpo"/>
        <w:ind w:firstLine="709"/>
      </w:pPr>
      <w:r>
        <w:rPr>
          <w:noProof/>
          <w:lang w:eastAsia="pt-BR"/>
        </w:rPr>
        <w:drawing>
          <wp:anchor distT="0" distB="0" distL="114300" distR="114300" simplePos="0" relativeHeight="251664384" behindDoc="1" locked="1" layoutInCell="1" allowOverlap="0" wp14:anchorId="1CF4511B" wp14:editId="63D84D67">
            <wp:simplePos x="0" y="0"/>
            <wp:positionH relativeFrom="margin">
              <wp:posOffset>3617595</wp:posOffset>
            </wp:positionH>
            <wp:positionV relativeFrom="page">
              <wp:posOffset>7520940</wp:posOffset>
            </wp:positionV>
            <wp:extent cx="1817370" cy="1702435"/>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2336" behindDoc="0" locked="1" layoutInCell="1" allowOverlap="0">
            <wp:simplePos x="0" y="0"/>
            <wp:positionH relativeFrom="margin">
              <wp:posOffset>-96520</wp:posOffset>
            </wp:positionH>
            <wp:positionV relativeFrom="page">
              <wp:posOffset>6492240</wp:posOffset>
            </wp:positionV>
            <wp:extent cx="3376295" cy="368236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r>
        <w:t xml:space="preserve">No segundo mostramos </w:t>
      </w:r>
      <w:r>
        <w:rPr>
          <w:noProof/>
          <w:lang w:eastAsia="pt-BR"/>
        </w:rPr>
        <w:drawing>
          <wp:anchor distT="0" distB="0" distL="114300" distR="114300" simplePos="0" relativeHeight="251660288" behindDoc="1" locked="1" layoutInCell="1" allowOverlap="0">
            <wp:simplePos x="0" y="0"/>
            <wp:positionH relativeFrom="margin">
              <wp:posOffset>7620</wp:posOffset>
            </wp:positionH>
            <wp:positionV relativeFrom="page">
              <wp:posOffset>1986280</wp:posOffset>
            </wp:positionV>
            <wp:extent cx="3164205" cy="319151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1312" behindDoc="1" locked="1" layoutInCell="1" allowOverlap="1">
            <wp:simplePos x="0" y="0"/>
            <wp:positionH relativeFrom="margin">
              <wp:align>right</wp:align>
            </wp:positionH>
            <wp:positionV relativeFrom="page">
              <wp:posOffset>2336800</wp:posOffset>
            </wp:positionV>
            <wp:extent cx="1931670" cy="1809115"/>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r>
        <w:t>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rPr>
          <w:noProof/>
          <w:lang w:eastAsia="pt-BR"/>
        </w:rPr>
      </w:pPr>
    </w:p>
    <w:p w:rsidR="00FE3CFF" w:rsidRDefault="00D2354F" w:rsidP="00FE3CFF">
      <w:pPr>
        <w:pStyle w:val="Corpo"/>
        <w:ind w:firstLine="709"/>
      </w:pPr>
      <w:r>
        <w:lastRenderedPageBreak/>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FE3CFF">
      <w:pPr>
        <w:pStyle w:val="Corpo"/>
        <w:ind w:firstLine="709"/>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FE3CFF" w:rsidRDefault="00FE3CFF" w:rsidP="00FE3CFF">
      <w:pPr>
        <w:pStyle w:val="Corpo"/>
        <w:ind w:firstLine="709"/>
      </w:pPr>
      <w:r>
        <w:rPr>
          <w:b/>
        </w:rPr>
        <w:t xml:space="preserve">E-commerce no Brasil: perfil do mercado e do e-consumidor brasileiro – </w:t>
      </w:r>
      <w:r>
        <w:t xml:space="preserve">Artigo publicado em: 20/04/2011, pelo autor: </w:t>
      </w:r>
      <w:hyperlink r:id="rId20" w:history="1">
        <w:r>
          <w:rPr>
            <w:rStyle w:val="Hyperlink"/>
            <w:rFonts w:ascii="Segoe UI" w:hAnsi="Segoe UI" w:cs="Segoe UI"/>
            <w:color w:val="3781C3"/>
            <w:sz w:val="21"/>
            <w:szCs w:val="21"/>
            <w:shd w:val="clear" w:color="auto" w:fill="FFFFFF"/>
          </w:rPr>
          <w:t>Nascimento,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w:t>
      </w:r>
      <w:r>
        <w:t xml:space="preserve"> no artigo que foram usados para obter mais conhecimento sobre o assunto.</w:t>
      </w:r>
      <w:bookmarkStart w:id="19" w:name="_GoBack"/>
      <w:bookmarkEnd w:id="19"/>
    </w:p>
    <w:p w:rsidR="00FE3CFF" w:rsidRDefault="00FE3CFF"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22"/>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E6D" w:rsidRDefault="005B2E6D" w:rsidP="00153771">
      <w:pPr>
        <w:spacing w:after="0" w:line="240" w:lineRule="auto"/>
      </w:pPr>
      <w:r>
        <w:separator/>
      </w:r>
    </w:p>
  </w:endnote>
  <w:endnote w:type="continuationSeparator" w:id="0">
    <w:p w:rsidR="005B2E6D" w:rsidRDefault="005B2E6D"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E6D" w:rsidRDefault="005B2E6D" w:rsidP="00153771">
      <w:pPr>
        <w:spacing w:after="0" w:line="240" w:lineRule="auto"/>
      </w:pPr>
      <w:r>
        <w:separator/>
      </w:r>
    </w:p>
  </w:footnote>
  <w:footnote w:type="continuationSeparator" w:id="0">
    <w:p w:rsidR="005B2E6D" w:rsidRDefault="005B2E6D"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FE3CFF">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FE3CFF">
          <w:rPr>
            <w:rFonts w:ascii="Times New Roman" w:hAnsi="Times New Roman" w:cs="Times New Roman"/>
            <w:noProof/>
          </w:rPr>
          <w:t>24</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7E08"/>
    <w:rsid w:val="0013223D"/>
    <w:rsid w:val="00152025"/>
    <w:rsid w:val="00153771"/>
    <w:rsid w:val="00161D75"/>
    <w:rsid w:val="00174199"/>
    <w:rsid w:val="00177459"/>
    <w:rsid w:val="001A0646"/>
    <w:rsid w:val="001F74A3"/>
    <w:rsid w:val="00202437"/>
    <w:rsid w:val="00216F1B"/>
    <w:rsid w:val="002A01AD"/>
    <w:rsid w:val="002B3840"/>
    <w:rsid w:val="002F1636"/>
    <w:rsid w:val="00307691"/>
    <w:rsid w:val="00320484"/>
    <w:rsid w:val="00363075"/>
    <w:rsid w:val="00395AE8"/>
    <w:rsid w:val="00396C61"/>
    <w:rsid w:val="00412CA8"/>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8419E"/>
    <w:rsid w:val="006A152F"/>
    <w:rsid w:val="006E2157"/>
    <w:rsid w:val="006E39D4"/>
    <w:rsid w:val="00724950"/>
    <w:rsid w:val="007842EA"/>
    <w:rsid w:val="007A39D9"/>
    <w:rsid w:val="007C2FAF"/>
    <w:rsid w:val="007F137C"/>
    <w:rsid w:val="00810ACF"/>
    <w:rsid w:val="00837F04"/>
    <w:rsid w:val="00873387"/>
    <w:rsid w:val="008C6B08"/>
    <w:rsid w:val="008D5306"/>
    <w:rsid w:val="0097283D"/>
    <w:rsid w:val="009733EE"/>
    <w:rsid w:val="0097538E"/>
    <w:rsid w:val="00985879"/>
    <w:rsid w:val="009A2AE7"/>
    <w:rsid w:val="009E7C9B"/>
    <w:rsid w:val="009F225D"/>
    <w:rsid w:val="00A74617"/>
    <w:rsid w:val="00AA0B9C"/>
    <w:rsid w:val="00AF25ED"/>
    <w:rsid w:val="00B20E48"/>
    <w:rsid w:val="00B6272E"/>
    <w:rsid w:val="00B84D85"/>
    <w:rsid w:val="00BC4906"/>
    <w:rsid w:val="00C3227F"/>
    <w:rsid w:val="00C55DE2"/>
    <w:rsid w:val="00C71210"/>
    <w:rsid w:val="00C9049B"/>
    <w:rsid w:val="00C964C7"/>
    <w:rsid w:val="00D2354F"/>
    <w:rsid w:val="00D46478"/>
    <w:rsid w:val="00D85F8F"/>
    <w:rsid w:val="00DB198E"/>
    <w:rsid w:val="00DC1F88"/>
    <w:rsid w:val="00DD77FF"/>
    <w:rsid w:val="00E0637C"/>
    <w:rsid w:val="00E37CA7"/>
    <w:rsid w:val="00E44BC2"/>
    <w:rsid w:val="00E53656"/>
    <w:rsid w:val="00E554C5"/>
    <w:rsid w:val="00E658F6"/>
    <w:rsid w:val="00E70F05"/>
    <w:rsid w:val="00EC14F8"/>
    <w:rsid w:val="00F1038B"/>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D1AB"/>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09B511-EFD8-42FC-AA27-6CE7D511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30</Pages>
  <Words>4030</Words>
  <Characters>21767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16</cp:revision>
  <dcterms:created xsi:type="dcterms:W3CDTF">2017-03-16T11:52:00Z</dcterms:created>
  <dcterms:modified xsi:type="dcterms:W3CDTF">2019-10-23T21:02:00Z</dcterms:modified>
</cp:coreProperties>
</file>