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Mediciones RNI - General</w:t>
      </w:r>
    </w:p>
    <w:p>
      <w:r>
        <w:t>Fecha de generación: 06/11/2025 16:24:38</w:t>
      </w:r>
    </w:p>
    <w:p>
      <w:r>
        <w:t>Total de puntos medidos: 412629</w:t>
      </w:r>
    </w:p>
    <w:p>
      <w:r>
        <w:t>Resultado máximo (V/m): 18.48</w:t>
      </w:r>
    </w:p>
    <w:p>
      <w: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Gráfico de Localidades por Provincia y CCTE.</w:t>
      </w:r>
    </w:p>
    <w:p>
      <w:r>
        <w:drawing>
          <wp:inline xmlns:a="http://schemas.openxmlformats.org/drawingml/2006/main" xmlns:pic="http://schemas.openxmlformats.org/drawingml/2006/picture">
            <wp:extent cx="5029200" cy="50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 de cal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Mapa semaforizado de resultados.</w:t>
      </w:r>
    </w:p>
    <w:sectPr w:rsidR="00FC693F" w:rsidRPr="0006063C" w:rsidSect="00034616">
      <w:headerReference w:type="default" r:id="rId9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Base de datos de mediciones RNI - ENACOM | Generado automáticamente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fill="004AAD"/>
    </w:pPr>
    <w:r>
      <w:drawing>
        <wp:inline xmlns:a="http://schemas.openxmlformats.org/drawingml/2006/main" xmlns:pic="http://schemas.openxmlformats.org/drawingml/2006/picture">
          <wp:extent cx="2103120" cy="53562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enaco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3120" cy="535626"/>
                  </a:xfrm>
                  <a:prstGeom prst="rect"/>
                </pic:spPr>
              </pic:pic>
            </a:graphicData>
          </a:graphic>
        </wp:inline>
      </w:drawing>
    </w:r>
    <w:r>
      <w:br/>
    </w:r>
    <w:r>
      <w:rPr>
        <w:b/>
      </w:rPr>
      <w:t>ENTE NACIONAL DE COMUNICACIONES (ENACOM)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