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Mediciones RNI - General</w:t>
      </w:r>
    </w:p>
    <w:p>
      <w:r>
        <w:t>Fecha de generación: 20/11/2025 09:46:39</w:t>
      </w:r>
    </w:p>
    <w:p>
      <w:r>
        <w:t>Total de puntos medidos: 175748</w:t>
      </w:r>
    </w:p>
    <w:p>
      <w:r>
        <w:t>Resultado máximo (V/m): 18.14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de Localidades por Provincia y CCTE.</w:t>
      </w:r>
    </w:p>
    <w:p>
      <w:r>
        <w:drawing>
          <wp:inline xmlns:a="http://schemas.openxmlformats.org/drawingml/2006/main" xmlns:pic="http://schemas.openxmlformats.org/drawingml/2006/picture">
            <wp:extent cx="5029200" cy="50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 de ca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Mapa semaforizado de resultados.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Base de datos de mediciones RNI - ENACOM | Generado automáticamente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fill="004AAD"/>
    </w:pPr>
    <w:r>
      <w:drawing>
        <wp:inline xmlns:a="http://schemas.openxmlformats.org/drawingml/2006/main" xmlns:pic="http://schemas.openxmlformats.org/drawingml/2006/picture">
          <wp:extent cx="2103120" cy="5356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naco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0" cy="535626"/>
                  </a:xfrm>
                  <a:prstGeom prst="rect"/>
                </pic:spPr>
              </pic:pic>
            </a:graphicData>
          </a:graphic>
        </wp:inline>
      </w:drawing>
    </w:r>
    <w:r>
      <w:br/>
    </w:r>
    <w:r>
      <w:rPr>
        <w:b/>
      </w:rPr>
      <w:t>ENTE NACIONAL DE COMUNICACIONES (ENACOM)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