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Kappa Foundation</w:t>
      </w:r>
    </w:p>
    <w:p>
      <w:r>
        <w:t>Investment committee memo | Revised trustee mandate | 27 October 2026</w:t>
      </w:r>
    </w:p>
    <w:p>
      <w:r>
        <w:t>Decision as at 31 December 2022. Historical evaluation is reported separately.</w:t>
      </w:r>
    </w:p>
    <w:p>
      <w:pPr>
        <w:pStyle w:val="Heading2"/>
      </w:pPr>
      <w:r>
        <w:t>1. Recommendation</w:t>
      </w:r>
    </w:p>
    <w:p>
      <w: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r>
        <w:t>The 2030 target remains USD 8 million of 2022 purchasing power. At our 2.3% inflation assumption, that means approximately USD 9.596 million in 2030. The approved revised portfolio needs an equity CAGR of about 4.80% over eight years, assuming no return on the bond coupons held in cash. This is a target hurdle, not a forecast or guarantee.</w:t>
      </w:r>
    </w:p>
    <w:p>
      <w: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r>
        <w:br w:type="page"/>
      </w:r>
    </w:p>
    <w:p>
      <w:pPr>
        <w:pStyle w:val="Heading2"/>
      </w:pPr>
      <w:r>
        <w:t>2. The changed payments and bond funding</w:t>
      </w:r>
    </w:p>
    <w:p>
      <w: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Policy</w:t>
            </w:r>
          </w:p>
        </w:tc>
        <w:tc>
          <w:tcPr>
            <w:tcW w:type="dxa" w:w="2074"/>
          </w:tcPr>
          <w:p>
            <w:r>
              <w:t>Bond cost, USD</w:t>
            </w:r>
          </w:p>
        </w:tc>
        <w:tc>
          <w:tcPr>
            <w:tcW w:type="dxa" w:w="2074"/>
          </w:tcPr>
          <w:p>
            <w:r>
              <w:t>Net equities, USD</w:t>
            </w:r>
          </w:p>
        </w:tc>
        <w:tc>
          <w:tcPr>
            <w:tcW w:type="dxa" w:w="2074"/>
          </w:tcPr>
          <w:p>
            <w:r>
              <w:t>Cash retained 2030, USD</w:t>
            </w:r>
          </w:p>
        </w:tc>
        <w:tc>
          <w:tcPr>
            <w:tcW w:type="dxa" w:w="2074"/>
          </w:tcPr>
          <w:p>
            <w:r>
              <w:t>Equity CAGR hurdle</w:t>
            </w:r>
          </w:p>
        </w:tc>
      </w:tr>
      <w:tr>
        <w:tc>
          <w:tcPr>
            <w:tcW w:type="dxa" w:w="2074"/>
          </w:tcPr>
          <w:p>
            <w:r>
              <w:t>Original Beta and Delta</w:t>
            </w:r>
          </w:p>
        </w:tc>
        <w:tc>
          <w:tcPr>
            <w:tcW w:type="dxa" w:w="2074"/>
          </w:tcPr>
          <w:p>
            <w:r>
              <w:t>5,764,524</w:t>
            </w:r>
          </w:p>
        </w:tc>
        <w:tc>
          <w:tcPr>
            <w:tcW w:type="dxa" w:w="2074"/>
          </w:tcPr>
          <w:p>
            <w:r>
              <w:t>6,229,247</w:t>
            </w:r>
          </w:p>
        </w:tc>
        <w:tc>
          <w:tcPr>
            <w:tcW w:type="dxa" w:w="2074"/>
          </w:tcPr>
          <w:p>
            <w:r>
              <w:t>630,000</w:t>
            </w:r>
          </w:p>
        </w:tc>
        <w:tc>
          <w:tcPr>
            <w:tcW w:type="dxa" w:w="2074"/>
          </w:tcPr>
          <w:p>
            <w:r>
              <w:t>4.66%</w:t>
            </w:r>
          </w:p>
        </w:tc>
      </w:tr>
      <w:tr>
        <w:tc>
          <w:tcPr>
            <w:tcW w:type="dxa" w:w="2074"/>
          </w:tcPr>
          <w:p>
            <w:r>
              <w:t>Revised principal matching</w:t>
            </w:r>
          </w:p>
        </w:tc>
        <w:tc>
          <w:tcPr>
            <w:tcW w:type="dxa" w:w="2074"/>
          </w:tcPr>
          <w:p>
            <w:r>
              <w:t>5,784,228</w:t>
            </w:r>
          </w:p>
        </w:tc>
        <w:tc>
          <w:tcPr>
            <w:tcW w:type="dxa" w:w="2074"/>
          </w:tcPr>
          <w:p>
            <w:r>
              <w:t>6,209,562</w:t>
            </w:r>
          </w:p>
        </w:tc>
        <w:tc>
          <w:tcPr>
            <w:tcW w:type="dxa" w:w="2074"/>
          </w:tcPr>
          <w:p>
            <w:r>
              <w:t>564,000</w:t>
            </w:r>
          </w:p>
        </w:tc>
        <w:tc>
          <w:tcPr>
            <w:tcW w:type="dxa" w:w="2074"/>
          </w:tcPr>
          <w:p>
            <w:r>
              <w:t>4.80%</w:t>
            </w:r>
          </w:p>
        </w:tc>
      </w:tr>
      <w:tr>
        <w:tc>
          <w:tcPr>
            <w:tcW w:type="dxa" w:w="2074"/>
          </w:tcPr>
          <w:p>
            <w:r>
              <w:t>Revised coupon funding</w:t>
            </w:r>
          </w:p>
        </w:tc>
        <w:tc>
          <w:tcPr>
            <w:tcW w:type="dxa" w:w="2074"/>
          </w:tcPr>
          <w:p>
            <w:r>
              <w:t>5,429,776</w:t>
            </w:r>
          </w:p>
        </w:tc>
        <w:tc>
          <w:tcPr>
            <w:tcW w:type="dxa" w:w="2074"/>
          </w:tcPr>
          <w:p>
            <w:r>
              <w:t>6,563,660</w:t>
            </w:r>
          </w:p>
        </w:tc>
        <w:tc>
          <w:tcPr>
            <w:tcW w:type="dxa" w:w="2074"/>
          </w:tcPr>
          <w:p>
            <w:r>
              <w:t>168,000</w:t>
            </w:r>
          </w:p>
        </w:tc>
        <w:tc>
          <w:tcPr>
            <w:tcW w:type="dxa" w:w="2074"/>
          </w:tcPr>
          <w:p>
            <w:r>
              <w:t>4.63%</w:t>
            </w:r>
          </w:p>
        </w:tc>
      </w:tr>
    </w:tbl>
    <w:p>
      <w:r>
        <w:t>The original portfolio buys 2,400 Beta and 3,600 Delta units. The approved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r>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r>
        <w:br w:type="page"/>
      </w:r>
    </w:p>
    <w:p>
      <w:pPr>
        <w:pStyle w:val="Heading2"/>
      </w:pPr>
      <w:r>
        <w:t>3. Choosing and sizing the equity sleeve</w:t>
      </w:r>
    </w:p>
    <w:p>
      <w: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annual volatility 14.98%; the constrained Minimum Variance alternative has about 10.86% and 13.15%, respectively. These numbers are predictions from the historical estimation model, not results earned in later markets.</w:t>
      </w:r>
    </w:p>
    <w:p>
      <w: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r>
        <w:br w:type="page"/>
      </w:r>
    </w:p>
    <w:p>
      <w:pPr>
        <w:pStyle w:val="Heading2"/>
      </w:pPr>
      <w:r>
        <w:t>4. Factors and forecast risk</w:t>
      </w:r>
    </w:p>
    <w:p>
      <w: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Historical regression measure</w:t>
            </w:r>
          </w:p>
        </w:tc>
        <w:tc>
          <w:tcPr>
            <w:tcW w:type="dxa" w:w="3456"/>
          </w:tcPr>
          <w:p>
            <w:r>
              <w:t>CAPM</w:t>
            </w:r>
          </w:p>
        </w:tc>
        <w:tc>
          <w:tcPr>
            <w:tcW w:type="dxa" w:w="3456"/>
          </w:tcPr>
          <w:p>
            <w:r>
              <w:t>FF3</w:t>
            </w:r>
          </w:p>
        </w:tc>
      </w:tr>
      <w:tr>
        <w:tc>
          <w:tcPr>
            <w:tcW w:type="dxa" w:w="3456"/>
          </w:tcPr>
          <w:p>
            <w:r>
              <w:t>Market beta</w:t>
            </w:r>
          </w:p>
        </w:tc>
        <w:tc>
          <w:tcPr>
            <w:tcW w:type="dxa" w:w="3456"/>
          </w:tcPr>
          <w:p>
            <w:r>
              <w:t>0.805</w:t>
            </w:r>
          </w:p>
        </w:tc>
        <w:tc>
          <w:tcPr>
            <w:tcW w:type="dxa" w:w="3456"/>
          </w:tcPr>
          <w:p>
            <w:r>
              <w:t>0.867</w:t>
            </w:r>
          </w:p>
        </w:tc>
      </w:tr>
      <w:tr>
        <w:tc>
          <w:tcPr>
            <w:tcW w:type="dxa" w:w="3456"/>
          </w:tcPr>
          <w:p>
            <w:r>
              <w:t>Adjusted R squared</w:t>
            </w:r>
          </w:p>
        </w:tc>
        <w:tc>
          <w:tcPr>
            <w:tcW w:type="dxa" w:w="3456"/>
          </w:tcPr>
          <w:p>
            <w:r>
              <w:t>0.785</w:t>
            </w:r>
          </w:p>
        </w:tc>
        <w:tc>
          <w:tcPr>
            <w:tcW w:type="dxa" w:w="3456"/>
          </w:tcPr>
          <w:p>
            <w:r>
              <w:t>0.844</w:t>
            </w:r>
          </w:p>
        </w:tc>
      </w:tr>
      <w:tr>
        <w:tc>
          <w:tcPr>
            <w:tcW w:type="dxa" w:w="3456"/>
          </w:tcPr>
          <w:p>
            <w:r>
              <w:t>Monthly model alpha</w:t>
            </w:r>
          </w:p>
        </w:tc>
        <w:tc>
          <w:tcPr>
            <w:tcW w:type="dxa" w:w="3456"/>
          </w:tcPr>
          <w:p>
            <w:r>
              <w:t>0.646%</w:t>
            </w:r>
          </w:p>
        </w:tc>
        <w:tc>
          <w:tcPr>
            <w:tcW w:type="dxa" w:w="3456"/>
          </w:tcPr>
          <w:p>
            <w:r>
              <w:t>0.569%</w:t>
            </w:r>
          </w:p>
        </w:tc>
      </w:tr>
      <w:tr>
        <w:tc>
          <w:tcPr>
            <w:tcW w:type="dxa" w:w="3456"/>
          </w:tcPr>
          <w:p>
            <w:r>
              <w:t>SMB loading</w:t>
            </w:r>
          </w:p>
        </w:tc>
        <w:tc>
          <w:tcPr>
            <w:tcW w:type="dxa" w:w="3456"/>
          </w:tcPr>
          <w:p>
            <w:r>
              <w:t>Not included</w:t>
            </w:r>
          </w:p>
        </w:tc>
        <w:tc>
          <w:tcPr>
            <w:tcW w:type="dxa" w:w="3456"/>
          </w:tcPr>
          <w:p>
            <w:r>
              <w:t>-0.426</w:t>
            </w:r>
          </w:p>
        </w:tc>
      </w:tr>
      <w:tr>
        <w:tc>
          <w:tcPr>
            <w:tcW w:type="dxa" w:w="3456"/>
          </w:tcPr>
          <w:p>
            <w:r>
              <w:t>HML loading</w:t>
            </w:r>
          </w:p>
        </w:tc>
        <w:tc>
          <w:tcPr>
            <w:tcW w:type="dxa" w:w="3456"/>
          </w:tcPr>
          <w:p>
            <w:r>
              <w:t>Not included</w:t>
            </w:r>
          </w:p>
        </w:tc>
        <w:tc>
          <w:tcPr>
            <w:tcW w:type="dxa" w:w="3456"/>
          </w:tcPr>
          <w:p>
            <w:r>
              <w:t>0.010</w:t>
            </w:r>
          </w:p>
        </w:tc>
      </w:tr>
    </w:tbl>
    <w:p>
      <w: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r>
        <w:br w:type="page"/>
      </w:r>
    </w:p>
    <w:p>
      <w:pPr>
        <w:pStyle w:val="Heading2"/>
      </w:pPr>
      <w:r>
        <w:t>5. Sensitivities, downside risk and a change of mind</w:t>
      </w:r>
    </w:p>
    <w:p>
      <w: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r>
        <w:t>In a simultaneous illustrative equity fall of 25% and 100 basis point increase in bond yields, the starting fund loses about 14.42% under principal matching and about 15.08% under coupon funding. We propose a 12% early warning and a 15% escalation based on rolling, withdrawal-adjusted fund returns. The trustees have not approved these precise thresholds or the measurement period; they are our response to the board's stated discomfort with losses near 15%, not established trustee rules. It would be incorrect to state that the simulated 15.08% figure proves a rule was breached.</w:t>
      </w:r>
    </w:p>
    <w:p>
      <w: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r>
        <w:br w:type="page"/>
      </w:r>
    </w:p>
    <w:p>
      <w:pPr>
        <w:pStyle w:val="Heading2"/>
      </w:pPr>
      <w:r>
        <w:t>6. The frozen 2023 to 2025 market test</w:t>
      </w:r>
    </w:p>
    <w:p>
      <w: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This evaluation starts from the original policy's USD 6.229 million growth allocation, not the revised principal-matching allocation of USD 6.210 million shown elsewhere. The observed equity valuation uses the 3 January 2023 closing-price proxy, keeps share quantities fixed and permits the weights to drift. It covers 752 common trading dates and 36 month-end observations.</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Growth-sleeve statistic</w:t>
            </w:r>
          </w:p>
        </w:tc>
        <w:tc>
          <w:tcPr>
            <w:tcW w:type="dxa" w:w="3456"/>
          </w:tcPr>
          <w:p>
            <w:r>
              <w:t>Selected stocks</w:t>
            </w:r>
          </w:p>
        </w:tc>
        <w:tc>
          <w:tcPr>
            <w:tcW w:type="dxa" w:w="3456"/>
          </w:tcPr>
          <w:p>
            <w:r>
              <w:t>VTI</w:t>
            </w:r>
          </w:p>
        </w:tc>
      </w:tr>
      <w:tr>
        <w:tc>
          <w:tcPr>
            <w:tcW w:type="dxa" w:w="3456"/>
          </w:tcPr>
          <w:p>
            <w:r>
              <w:t>CAGR after entry fee</w:t>
            </w:r>
          </w:p>
        </w:tc>
        <w:tc>
          <w:tcPr>
            <w:tcW w:type="dxa" w:w="3456"/>
          </w:tcPr>
          <w:p>
            <w:r>
              <w:t>17.69%</w:t>
            </w:r>
          </w:p>
        </w:tc>
        <w:tc>
          <w:tcPr>
            <w:tcW w:type="dxa" w:w="3456"/>
          </w:tcPr>
          <w:p>
            <w:r>
              <w:t>22.45%</w:t>
            </w:r>
          </w:p>
        </w:tc>
      </w:tr>
      <w:tr>
        <w:tc>
          <w:tcPr>
            <w:tcW w:type="dxa" w:w="3456"/>
          </w:tcPr>
          <w:p>
            <w:r>
              <w:t>Annualized monthly volatility</w:t>
            </w:r>
          </w:p>
        </w:tc>
        <w:tc>
          <w:tcPr>
            <w:tcW w:type="dxa" w:w="3456"/>
          </w:tcPr>
          <w:p>
            <w:r>
              <w:t>11.80%</w:t>
            </w:r>
          </w:p>
        </w:tc>
        <w:tc>
          <w:tcPr>
            <w:tcW w:type="dxa" w:w="3456"/>
          </w:tcPr>
          <w:p>
            <w:r>
              <w:t>12.60%</w:t>
            </w:r>
          </w:p>
        </w:tc>
      </w:tr>
      <w:tr>
        <w:tc>
          <w:tcPr>
            <w:tcW w:type="dxa" w:w="3456"/>
          </w:tcPr>
          <w:p>
            <w:r>
              <w:t>Largest monthly NAV drawdown</w:t>
            </w:r>
          </w:p>
        </w:tc>
        <w:tc>
          <w:tcPr>
            <w:tcW w:type="dxa" w:w="3456"/>
          </w:tcPr>
          <w:p>
            <w:r>
              <w:t>-8.70%</w:t>
            </w:r>
          </w:p>
        </w:tc>
        <w:tc>
          <w:tcPr>
            <w:tcW w:type="dxa" w:w="3456"/>
          </w:tcPr>
          <w:p>
            <w:r>
              <w:t>-9.11%</w:t>
            </w:r>
          </w:p>
        </w:tc>
      </w:tr>
      <w:tr>
        <w:tc>
          <w:tcPr>
            <w:tcW w:type="dxa" w:w="3456"/>
          </w:tcPr>
          <w:p>
            <w:r>
              <w:t>End-2025 equity value, USD million</w:t>
            </w:r>
          </w:p>
        </w:tc>
        <w:tc>
          <w:tcPr>
            <w:tcW w:type="dxa" w:w="3456"/>
          </w:tcPr>
          <w:p>
            <w:r>
              <w:t>10.15</w:t>
            </w:r>
          </w:p>
        </w:tc>
        <w:tc>
          <w:tcPr>
            <w:tcW w:type="dxa" w:w="3456"/>
          </w:tcPr>
          <w:p>
            <w:r>
              <w:t>11.43</w:t>
            </w:r>
          </w:p>
        </w:tc>
      </w:tr>
    </w:tbl>
    <w:p>
      <w: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r>
        <w:t>This evaluation is for the traded equity sleeve only. The case bonds have no observed 2023 to 2025 trading-price history. A separate modeled whole-foundation monitor uses the case YTMs, the approved liability schedule and observed equity prices; it must not be presented as observed total-fund performance. Our dated university email transmission of the 22 October package is documented, but we cannot independently verify all emailed ZIP-member bytes or institutional acceptance. We therefore report the price-based results as conditional on final original-submission verification.</w:t>
      </w:r>
    </w:p>
    <w:p>
      <w:r>
        <w:br w:type="page"/>
      </w:r>
    </w:p>
    <w:p>
      <w:pPr>
        <w:pStyle w:val="Heading2"/>
      </w:pPr>
      <w:r>
        <w:t>7. Implementation and review</w:t>
      </w:r>
    </w:p>
    <w:p>
      <w: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r>
        <w:t>The fund monitor distinguishes between observed stock prices and modeled bond valuations. It adds back a mandatory distribution in the month of payment when computing a time-weighted return. Under our proposed monitoring policy, a 12% rolling loss would prompt an early review of liquidity and forecasts, while a 15% rolling loss would trigger a deeper trustee discussion, subject to board approval. Neither action changes the payment obligations or licenses use of future price information in a 2022 decision.</w:t>
      </w:r>
    </w:p>
    <w:p>
      <w: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r>
        <w:br w:type="page"/>
      </w:r>
    </w:p>
    <w:p>
      <w:pPr>
        <w:pStyle w:val="Heading2"/>
      </w:pPr>
      <w:r>
        <w:t>References and file guide</w:t>
      </w:r>
    </w:p>
    <w:p>
      <w:r>
        <w:t>[1] BFIN WS2026 Group Assignment, original four-page case and 23 October 2026 trustee update provided to the group.</w:t>
      </w:r>
    </w:p>
    <w:p>
      <w:r>
        <w:t>[2] Kappa initial decision record and preserved 2022 policy evidence. The exact emailed 22 October ZIP has not been independently authenticated in this repository.</w:t>
      </w:r>
    </w:p>
    <w:p>
      <w:r>
        <w:t>[3] Bond model: bond_funding/Kappa_Bond_Funding_Model_Revised.xlsx and bond_funding/outputs/revised.</w:t>
      </w:r>
    </w:p>
    <w:p>
      <w:r>
        <w:t>[4] Equity model: portfolio_construction/Portfolio Final/Results.xlsx and portfolio_construction/revised_mandate.</w:t>
      </w:r>
    </w:p>
    <w:p>
      <w:r>
        <w:t>[5] Factor model: factor_analysis/outputs/factor_coefficients.csv and revised_mandate_factor_scenarios.csv. French factor data are archived in factor_analysis/data/raw/french.</w:t>
      </w:r>
    </w:p>
    <w:p>
      <w:r>
        <w:t>[6] Market evaluation: portfolio_construction/Portfolio Final/Sources, including Yahoo Raw.zip and Market Source.json, with dates and checksums.</w:t>
      </w:r>
    </w:p>
    <w:p>
      <w:r>
        <w:t>[7] Johnson &amp; Johnson. Voluntary exchange offer announcement, 24 July 2023; final results, 23 August 2023. https://www.jnj.com/media-center</w:t>
      </w:r>
    </w:p>
    <w:p>
      <w:r>
        <w:t>[8] Quality checks and decisions: quality_assurance/qa_report.json and quality_assurance/decision_log.csv.</w:t>
      </w:r>
    </w:p>
    <w:p>
      <w:r>
        <w:t>Material AI assistance was used to review code, check calculations, research sources and edit text. The numerical work, source files and limitations are supplied for the contributors to verify. Human sign-off and the university's acceptance have not been invented.</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