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11CC" w14:textId="77777777" w:rsidR="00EE68AE" w:rsidRPr="00F57178" w:rsidRDefault="00EE68AE" w:rsidP="001D6FB5">
      <w:pPr>
        <w:pStyle w:val="Title"/>
        <w:spacing w:after="120"/>
        <w:jc w:val="center"/>
        <w:rPr>
          <w:rFonts w:ascii="Times New Roman" w:hAnsi="Times New Roman" w:cs="Times New Roman"/>
          <w:b/>
          <w:bCs/>
          <w:sz w:val="48"/>
          <w:szCs w:val="48"/>
        </w:rPr>
      </w:pPr>
      <w:r w:rsidRPr="00F57178">
        <w:rPr>
          <w:rFonts w:ascii="Times New Roman" w:hAnsi="Times New Roman" w:cs="Times New Roman"/>
          <w:b/>
          <w:bCs/>
          <w:sz w:val="32"/>
          <w:szCs w:val="160"/>
        </w:rPr>
        <w:t>Decision Log for Bond Funding and Revised Mandate</w:t>
      </w:r>
    </w:p>
    <w:p w14:paraId="386C94C1" w14:textId="77777777" w:rsidR="00EE68AE" w:rsidRPr="00F57178" w:rsidRDefault="00EE68AE" w:rsidP="00EE68AE">
      <w:pPr>
        <w:spacing w:after="120"/>
        <w:rPr>
          <w:rFonts w:ascii="Times New Roman" w:hAnsi="Times New Roman" w:cs="Times New Roman"/>
          <w:sz w:val="22"/>
          <w:szCs w:val="28"/>
        </w:rPr>
      </w:pPr>
      <w:r w:rsidRPr="00F57178">
        <w:rPr>
          <w:rFonts w:ascii="Times New Roman" w:hAnsi="Times New Roman" w:cs="Times New Roman"/>
          <w:b/>
          <w:bCs/>
          <w:sz w:val="22"/>
          <w:szCs w:val="28"/>
        </w:rPr>
        <w:t>Status:</w:t>
      </w:r>
      <w:r w:rsidRPr="00F57178">
        <w:rPr>
          <w:rFonts w:ascii="Times New Roman" w:hAnsi="Times New Roman" w:cs="Times New Roman"/>
          <w:sz w:val="22"/>
          <w:szCs w:val="28"/>
        </w:rPr>
        <w:t xml:space="preserve"> The group has selected principal matching as its final funding recommendation under the revised mandate.</w:t>
      </w:r>
    </w:p>
    <w:p w14:paraId="38937B31" w14:textId="77777777" w:rsidR="00326B51" w:rsidRPr="00F57178" w:rsidRDefault="00000000">
      <w:pPr>
        <w:spacing w:after="120"/>
        <w:rPr>
          <w:rFonts w:ascii="Times New Roman" w:hAnsi="Times New Roman" w:cs="Times New Roman"/>
          <w:sz w:val="22"/>
          <w:szCs w:val="28"/>
        </w:rPr>
      </w:pPr>
      <w:r w:rsidRPr="00F57178">
        <w:rPr>
          <w:rFonts w:ascii="Times New Roman" w:hAnsi="Times New Roman" w:cs="Times New Roman"/>
          <w:sz w:val="22"/>
          <w:szCs w:val="28"/>
        </w:rPr>
        <w:t>This log preserves the funding proposals and analysis recorded before the group selected its final recommendation. Group selection does not constitute approval by the trustees or the lecturer.</w:t>
      </w:r>
    </w:p>
    <w:tbl>
      <w:tblPr>
        <w:tblStyle w:val="GridTable7Colorful"/>
        <w:tblW w:w="0" w:type="auto"/>
        <w:tblLayout w:type="fixed"/>
        <w:tblLook w:val="04A0" w:firstRow="1" w:lastRow="0" w:firstColumn="1" w:lastColumn="0" w:noHBand="0" w:noVBand="1"/>
      </w:tblPr>
      <w:tblGrid>
        <w:gridCol w:w="1512"/>
        <w:gridCol w:w="3600"/>
        <w:gridCol w:w="3096"/>
        <w:gridCol w:w="6912"/>
      </w:tblGrid>
      <w:tr w:rsidR="00EE68AE" w:rsidRPr="00F57178" w14:paraId="18685F54" w14:textId="77777777" w:rsidTr="001D6FB5">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DCE6F1"/>
            <w:hideMark/>
          </w:tcPr>
          <w:p w14:paraId="0CE9E0CB" w14:textId="77777777" w:rsidR="00EE68AE" w:rsidRPr="00F57178" w:rsidRDefault="00EE68AE" w:rsidP="001D6FB5">
            <w:pPr>
              <w:spacing w:before="100" w:after="100" w:line="278" w:lineRule="auto"/>
              <w:jc w:val="center"/>
              <w:rPr>
                <w:rFonts w:ascii="Times New Roman" w:hAnsi="Times New Roman" w:cs="Times New Roman"/>
                <w:i w:val="0"/>
                <w:iCs w:val="0"/>
                <w:sz w:val="22"/>
                <w:szCs w:val="28"/>
              </w:rPr>
            </w:pPr>
            <w:r w:rsidRPr="00F57178">
              <w:rPr>
                <w:rFonts w:ascii="Times New Roman" w:hAnsi="Times New Roman" w:cs="Times New Roman"/>
                <w:i w:val="0"/>
                <w:iCs w:val="0"/>
                <w:sz w:val="22"/>
                <w:szCs w:val="28"/>
              </w:rPr>
              <w:t>Date</w:t>
            </w:r>
          </w:p>
        </w:tc>
        <w:tc>
          <w:tcPr>
            <w:tcW w:w="3600" w:type="dxa"/>
            <w:tcBorders>
              <w:top w:val="single" w:sz="4" w:space="0" w:color="D9D9D9"/>
              <w:left w:val="single" w:sz="4" w:space="0" w:color="D9D9D9"/>
              <w:bottom w:val="single" w:sz="4" w:space="0" w:color="D9D9D9"/>
              <w:right w:val="single" w:sz="4" w:space="0" w:color="D9D9D9"/>
            </w:tcBorders>
            <w:shd w:val="clear" w:color="auto" w:fill="DCE6F1"/>
            <w:hideMark/>
          </w:tcPr>
          <w:p w14:paraId="036184FF" w14:textId="77777777" w:rsidR="00EE68AE" w:rsidRPr="00F57178" w:rsidRDefault="00EE68AE" w:rsidP="001D6FB5">
            <w:pPr>
              <w:spacing w:before="100" w:after="10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Decision / change</w:t>
            </w:r>
          </w:p>
        </w:tc>
        <w:tc>
          <w:tcPr>
            <w:tcW w:w="3096" w:type="dxa"/>
            <w:tcBorders>
              <w:top w:val="single" w:sz="4" w:space="0" w:color="D9D9D9"/>
              <w:left w:val="single" w:sz="4" w:space="0" w:color="D9D9D9"/>
              <w:bottom w:val="single" w:sz="4" w:space="0" w:color="D9D9D9"/>
              <w:right w:val="single" w:sz="4" w:space="0" w:color="D9D9D9"/>
            </w:tcBorders>
            <w:shd w:val="clear" w:color="auto" w:fill="DCE6F1"/>
            <w:hideMark/>
          </w:tcPr>
          <w:p w14:paraId="4F37D56C" w14:textId="77777777" w:rsidR="00EE68AE" w:rsidRPr="00F57178" w:rsidRDefault="00EE68AE" w:rsidP="001D6FB5">
            <w:pPr>
              <w:spacing w:before="100" w:after="10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Alternative considered</w:t>
            </w:r>
          </w:p>
        </w:tc>
        <w:tc>
          <w:tcPr>
            <w:tcW w:w="6912" w:type="dxa"/>
            <w:tcBorders>
              <w:top w:val="single" w:sz="4" w:space="0" w:color="D9D9D9"/>
              <w:left w:val="single" w:sz="4" w:space="0" w:color="D9D9D9"/>
              <w:bottom w:val="single" w:sz="4" w:space="0" w:color="D9D9D9"/>
              <w:right w:val="single" w:sz="4" w:space="0" w:color="D9D9D9"/>
            </w:tcBorders>
            <w:shd w:val="clear" w:color="auto" w:fill="DCE6F1"/>
            <w:hideMark/>
          </w:tcPr>
          <w:p w14:paraId="2C035F36" w14:textId="77777777" w:rsidR="00EE68AE" w:rsidRPr="00F57178" w:rsidRDefault="00EE68AE" w:rsidP="001D6FB5">
            <w:pPr>
              <w:spacing w:before="100" w:after="10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Evidence and rationale</w:t>
            </w:r>
          </w:p>
        </w:tc>
      </w:tr>
      <w:tr w:rsidR="00EE68AE" w:rsidRPr="00F57178" w14:paraId="35BC6799" w14:textId="77777777" w:rsidTr="001D6F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FFFFF"/>
            <w:hideMark/>
          </w:tcPr>
          <w:p w14:paraId="771DE2A5" w14:textId="77777777" w:rsidR="00EE68AE" w:rsidRPr="00F57178" w:rsidRDefault="00EE68AE" w:rsidP="00F57178">
            <w:pPr>
              <w:spacing w:before="100" w:after="100" w:line="278" w:lineRule="auto"/>
              <w:jc w:val="center"/>
              <w:rPr>
                <w:rFonts w:ascii="Times New Roman" w:hAnsi="Times New Roman" w:cs="Times New Roman"/>
                <w:sz w:val="22"/>
                <w:szCs w:val="28"/>
              </w:rPr>
            </w:pPr>
            <w:r w:rsidRPr="00F57178">
              <w:rPr>
                <w:rFonts w:ascii="Times New Roman" w:hAnsi="Times New Roman" w:cs="Times New Roman"/>
                <w:sz w:val="22"/>
                <w:szCs w:val="28"/>
              </w:rPr>
              <w:t>24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hideMark/>
          </w:tcPr>
          <w:p w14:paraId="508CB892"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Revise the proposed funding allocation to </w:t>
            </w:r>
            <w:r w:rsidRPr="00F57178">
              <w:rPr>
                <w:rFonts w:ascii="Times New Roman" w:hAnsi="Times New Roman" w:cs="Times New Roman"/>
                <w:bCs/>
                <w:sz w:val="22"/>
                <w:szCs w:val="28"/>
              </w:rPr>
              <w:t>2,400 Beta, 1,200 Gamma and 2,400 Delta bonds</w:t>
            </w:r>
            <w:r w:rsidRPr="00F57178">
              <w:rPr>
                <w:rFonts w:ascii="Times New Roman" w:hAnsi="Times New Roman" w:cs="Times New Roman"/>
                <w:sz w:val="22"/>
                <w:szCs w:val="28"/>
              </w:rPr>
              <w: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hideMark/>
          </w:tcPr>
          <w:p w14:paraId="419190C8"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Retain the original allocation of 2,400 Beta and 3,600 Delta bonds.</w:t>
            </w:r>
          </w:p>
        </w:tc>
        <w:tc>
          <w:tcPr>
            <w:tcW w:w="6912" w:type="dxa"/>
            <w:tcBorders>
              <w:top w:val="single" w:sz="4" w:space="0" w:color="D9D9D9"/>
              <w:left w:val="single" w:sz="4" w:space="0" w:color="D9D9D9"/>
              <w:bottom w:val="single" w:sz="4" w:space="0" w:color="D9D9D9"/>
              <w:right w:val="single" w:sz="4" w:space="0" w:color="D9D9D9"/>
            </w:tcBorders>
            <w:shd w:val="clear" w:color="auto" w:fill="FFFFFF"/>
            <w:hideMark/>
          </w:tcPr>
          <w:p w14:paraId="086C1709"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The revised mandate requires USD 1.2m in 2025 and reduces the 2027 payment to USD 2.4m. The original holdings provide only USD 378,000 of accumulated Delta coupons by end-2025, leaving an </w:t>
            </w:r>
            <w:r w:rsidRPr="00F57178">
              <w:rPr>
                <w:rFonts w:ascii="Times New Roman" w:hAnsi="Times New Roman" w:cs="Times New Roman"/>
                <w:bCs/>
                <w:sz w:val="22"/>
                <w:szCs w:val="28"/>
              </w:rPr>
              <w:t>USD 822,000 shortfall</w:t>
            </w:r>
            <w:r w:rsidRPr="00F57178">
              <w:rPr>
                <w:rFonts w:ascii="Times New Roman" w:hAnsi="Times New Roman" w:cs="Times New Roman"/>
                <w:sz w:val="22"/>
                <w:szCs w:val="28"/>
              </w:rPr>
              <w:t xml:space="preserve"> against the new payment without asset sales or reallocation. The revised principal-matching plan covers all three payment dates.</w:t>
            </w:r>
          </w:p>
        </w:tc>
      </w:tr>
      <w:tr w:rsidR="00EE68AE" w:rsidRPr="00F57178" w14:paraId="6AFDBF04" w14:textId="77777777" w:rsidTr="001D6FB5">
        <w:trPr>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5F7FA"/>
            <w:hideMark/>
          </w:tcPr>
          <w:p w14:paraId="17DF1C52" w14:textId="77777777" w:rsidR="00EE68AE" w:rsidRPr="00F57178" w:rsidRDefault="00EE68AE" w:rsidP="00F57178">
            <w:pPr>
              <w:spacing w:before="100" w:after="100" w:line="278" w:lineRule="auto"/>
              <w:jc w:val="center"/>
              <w:rPr>
                <w:rFonts w:ascii="Times New Roman" w:hAnsi="Times New Roman" w:cs="Times New Roman"/>
                <w:sz w:val="22"/>
                <w:szCs w:val="28"/>
              </w:rPr>
            </w:pPr>
            <w:r w:rsidRPr="00F57178">
              <w:rPr>
                <w:rFonts w:ascii="Times New Roman" w:hAnsi="Times New Roman" w:cs="Times New Roman"/>
                <w:sz w:val="22"/>
                <w:szCs w:val="28"/>
              </w:rPr>
              <w:t>24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5F7FA"/>
            <w:hideMark/>
          </w:tcPr>
          <w:p w14:paraId="654E310E"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bCs/>
                <w:sz w:val="22"/>
                <w:szCs w:val="28"/>
              </w:rPr>
              <w:t>Propose principal matching</w:t>
            </w:r>
            <w:r w:rsidRPr="00F57178">
              <w:rPr>
                <w:rFonts w:ascii="Times New Roman" w:hAnsi="Times New Roman" w:cs="Times New Roman"/>
                <w:sz w:val="22"/>
                <w:szCs w:val="28"/>
              </w:rPr>
              <w:t>, subject to the group’s integrated portfolio review.</w:t>
            </w:r>
          </w:p>
        </w:tc>
        <w:tc>
          <w:tcPr>
            <w:tcW w:w="3096" w:type="dxa"/>
            <w:tcBorders>
              <w:top w:val="single" w:sz="4" w:space="0" w:color="D9D9D9"/>
              <w:left w:val="single" w:sz="4" w:space="0" w:color="D9D9D9"/>
              <w:bottom w:val="single" w:sz="4" w:space="0" w:color="D9D9D9"/>
              <w:right w:val="single" w:sz="4" w:space="0" w:color="D9D9D9"/>
            </w:tcBorders>
            <w:shd w:val="clear" w:color="auto" w:fill="F5F7FA"/>
            <w:hideMark/>
          </w:tcPr>
          <w:p w14:paraId="03BCD9EE"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Coupon funding: 2,400 Beta, approximately 846.428571 Gamma and 2,400 Delta bonds.</w:t>
            </w:r>
          </w:p>
        </w:tc>
        <w:tc>
          <w:tcPr>
            <w:tcW w:w="6912" w:type="dxa"/>
            <w:tcBorders>
              <w:top w:val="single" w:sz="4" w:space="0" w:color="D9D9D9"/>
              <w:left w:val="single" w:sz="4" w:space="0" w:color="D9D9D9"/>
              <w:bottom w:val="single" w:sz="4" w:space="0" w:color="D9D9D9"/>
              <w:right w:val="single" w:sz="4" w:space="0" w:color="D9D9D9"/>
            </w:tcBorders>
            <w:shd w:val="clear" w:color="auto" w:fill="F5F7FA"/>
            <w:hideMark/>
          </w:tcPr>
          <w:p w14:paraId="7F012BE4"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Both plans meet all mandatory payments. Principal matching retains </w:t>
            </w:r>
            <w:r w:rsidRPr="00F57178">
              <w:rPr>
                <w:rFonts w:ascii="Times New Roman" w:hAnsi="Times New Roman" w:cs="Times New Roman"/>
                <w:bCs/>
                <w:sz w:val="22"/>
                <w:szCs w:val="28"/>
              </w:rPr>
              <w:t>USD 564,000</w:t>
            </w:r>
            <w:r w:rsidRPr="00F57178">
              <w:rPr>
                <w:rFonts w:ascii="Times New Roman" w:hAnsi="Times New Roman" w:cs="Times New Roman"/>
                <w:sz w:val="22"/>
                <w:szCs w:val="28"/>
              </w:rPr>
              <w:t xml:space="preserve"> in 2030, compared with USD 168,000 under coupon funding, but commits USD 354,451.82 more initial capital to bonds. Its required equity CAGR is </w:t>
            </w:r>
            <w:r w:rsidRPr="00F57178">
              <w:rPr>
                <w:rFonts w:ascii="Times New Roman" w:hAnsi="Times New Roman" w:cs="Times New Roman"/>
                <w:bCs/>
                <w:sz w:val="22"/>
                <w:szCs w:val="28"/>
              </w:rPr>
              <w:t>4.7951%</w:t>
            </w:r>
            <w:r w:rsidRPr="00F57178">
              <w:rPr>
                <w:rFonts w:ascii="Times New Roman" w:hAnsi="Times New Roman" w:cs="Times New Roman"/>
                <w:sz w:val="22"/>
                <w:szCs w:val="28"/>
              </w:rPr>
              <w:t xml:space="preserve">, versus </w:t>
            </w:r>
            <w:r w:rsidRPr="00F57178">
              <w:rPr>
                <w:rFonts w:ascii="Times New Roman" w:hAnsi="Times New Roman" w:cs="Times New Roman"/>
                <w:bCs/>
                <w:sz w:val="22"/>
                <w:szCs w:val="28"/>
              </w:rPr>
              <w:t>4.6309%</w:t>
            </w:r>
            <w:r w:rsidRPr="00F57178">
              <w:rPr>
                <w:rFonts w:ascii="Times New Roman" w:hAnsi="Times New Roman" w:cs="Times New Roman"/>
                <w:sz w:val="22"/>
                <w:szCs w:val="28"/>
              </w:rPr>
              <w:t xml:space="preserve"> for coupon funding. The proposal prioritises simpler payment management and a larger reserve while accepting the higher growth hurdle.</w:t>
            </w:r>
          </w:p>
        </w:tc>
      </w:tr>
      <w:tr w:rsidR="00EE68AE" w:rsidRPr="00F57178" w14:paraId="14B1C35F" w14:textId="77777777" w:rsidTr="001D6F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FFFFF"/>
            <w:hideMark/>
          </w:tcPr>
          <w:p w14:paraId="2395D997" w14:textId="77777777" w:rsidR="00EE68AE" w:rsidRPr="00F57178" w:rsidRDefault="00EE68AE" w:rsidP="00F57178">
            <w:pPr>
              <w:spacing w:before="100" w:after="100" w:line="278" w:lineRule="auto"/>
              <w:jc w:val="center"/>
              <w:rPr>
                <w:rFonts w:ascii="Times New Roman" w:hAnsi="Times New Roman" w:cs="Times New Roman"/>
                <w:sz w:val="22"/>
                <w:szCs w:val="28"/>
              </w:rPr>
            </w:pPr>
            <w:r w:rsidRPr="00F57178">
              <w:rPr>
                <w:rFonts w:ascii="Times New Roman" w:hAnsi="Times New Roman" w:cs="Times New Roman"/>
                <w:sz w:val="22"/>
                <w:szCs w:val="28"/>
              </w:rPr>
              <w:t>24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hideMark/>
          </w:tcPr>
          <w:p w14:paraId="46C9474D"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Retain the </w:t>
            </w:r>
            <w:r w:rsidRPr="00F57178">
              <w:rPr>
                <w:rFonts w:ascii="Times New Roman" w:hAnsi="Times New Roman" w:cs="Times New Roman"/>
                <w:bCs/>
                <w:sz w:val="22"/>
                <w:szCs w:val="28"/>
              </w:rPr>
              <w:t>31 December 2022 decision date</w:t>
            </w:r>
            <w:r w:rsidRPr="00F57178">
              <w:rPr>
                <w:rFonts w:ascii="Times New Roman" w:hAnsi="Times New Roman" w:cs="Times New Roman"/>
                <w:sz w:val="22"/>
                <w:szCs w:val="28"/>
              </w:rPr>
              <w:t>, original bond quotes and information cutoff for both mandates.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hideMark/>
          </w:tcPr>
          <w:p w14:paraId="32C13FD2"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Revalue the recommendation using later prices or information.</w:t>
            </w:r>
          </w:p>
        </w:tc>
        <w:tc>
          <w:tcPr>
            <w:tcW w:w="6912" w:type="dxa"/>
            <w:tcBorders>
              <w:top w:val="single" w:sz="4" w:space="0" w:color="D9D9D9"/>
              <w:left w:val="single" w:sz="4" w:space="0" w:color="D9D9D9"/>
              <w:bottom w:val="single" w:sz="4" w:space="0" w:color="D9D9D9"/>
              <w:right w:val="single" w:sz="4" w:space="0" w:color="D9D9D9"/>
            </w:tcBorders>
            <w:shd w:val="clear" w:color="auto" w:fill="FFFFFF"/>
            <w:hideMark/>
          </w:tcPr>
          <w:p w14:paraId="3ABA35E1"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The revised mandate explicitly requires comparison at the original decision date. Later information is excluded from funding-policy selection. The original 22 October submission remains unchanged for comparison.</w:t>
            </w:r>
          </w:p>
        </w:tc>
      </w:tr>
      <w:tr w:rsidR="00EE68AE" w:rsidRPr="00F57178" w14:paraId="6B94024F" w14:textId="77777777" w:rsidTr="001D6FB5">
        <w:trPr>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5F7FA"/>
            <w:hideMark/>
          </w:tcPr>
          <w:p w14:paraId="02A0C3B2" w14:textId="77777777" w:rsidR="00EE68AE" w:rsidRPr="00F57178" w:rsidRDefault="00EE68AE" w:rsidP="00F57178">
            <w:pPr>
              <w:spacing w:before="100" w:after="100" w:line="278" w:lineRule="auto"/>
              <w:jc w:val="center"/>
              <w:rPr>
                <w:rFonts w:ascii="Times New Roman" w:hAnsi="Times New Roman" w:cs="Times New Roman"/>
                <w:sz w:val="22"/>
                <w:szCs w:val="28"/>
              </w:rPr>
            </w:pPr>
            <w:r w:rsidRPr="00F57178">
              <w:rPr>
                <w:rFonts w:ascii="Times New Roman" w:hAnsi="Times New Roman" w:cs="Times New Roman"/>
                <w:sz w:val="22"/>
                <w:szCs w:val="28"/>
              </w:rPr>
              <w:t>24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5F7FA"/>
            <w:hideMark/>
          </w:tcPr>
          <w:p w14:paraId="6C802F45"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Retain coupons as cash earning </w:t>
            </w:r>
            <w:r w:rsidRPr="00F57178">
              <w:rPr>
                <w:rFonts w:ascii="Times New Roman" w:hAnsi="Times New Roman" w:cs="Times New Roman"/>
                <w:bCs/>
                <w:sz w:val="22"/>
                <w:szCs w:val="28"/>
              </w:rPr>
              <w:t>0% through 2030</w:t>
            </w:r>
            <w:r w:rsidRPr="00F57178">
              <w:rPr>
                <w:rFonts w:ascii="Times New Roman" w:hAnsi="Times New Roman" w:cs="Times New Roman"/>
                <w:sz w:val="22"/>
                <w:szCs w:val="28"/>
              </w:rPr>
              <w:t xml:space="preserve"> in the proposed principal-matching plan.</w:t>
            </w:r>
          </w:p>
        </w:tc>
        <w:tc>
          <w:tcPr>
            <w:tcW w:w="3096" w:type="dxa"/>
            <w:tcBorders>
              <w:top w:val="single" w:sz="4" w:space="0" w:color="D9D9D9"/>
              <w:left w:val="single" w:sz="4" w:space="0" w:color="D9D9D9"/>
              <w:bottom w:val="single" w:sz="4" w:space="0" w:color="D9D9D9"/>
              <w:right w:val="single" w:sz="4" w:space="0" w:color="D9D9D9"/>
            </w:tcBorders>
            <w:shd w:val="clear" w:color="auto" w:fill="F5F7FA"/>
            <w:hideMark/>
          </w:tcPr>
          <w:p w14:paraId="0CA25F56"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Reinvest coupons in growth assets or assume a positive cash return.</w:t>
            </w:r>
          </w:p>
        </w:tc>
        <w:tc>
          <w:tcPr>
            <w:tcW w:w="6912" w:type="dxa"/>
            <w:tcBorders>
              <w:top w:val="single" w:sz="4" w:space="0" w:color="D9D9D9"/>
              <w:left w:val="single" w:sz="4" w:space="0" w:color="D9D9D9"/>
              <w:bottom w:val="single" w:sz="4" w:space="0" w:color="D9D9D9"/>
              <w:right w:val="single" w:sz="4" w:space="0" w:color="D9D9D9"/>
            </w:tcBorders>
            <w:shd w:val="clear" w:color="auto" w:fill="F5F7FA"/>
            <w:hideMark/>
          </w:tcPr>
          <w:p w14:paraId="4C30149F"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This preserves the original comparison convention. Revised retained coupons total USD 564,000, versus USD 630,000 originally. Coupon funding is evaluated separately because it changes how coupons are used. Coupons used for mandatory payments are excluded from terminal cash.</w:t>
            </w:r>
          </w:p>
        </w:tc>
      </w:tr>
      <w:tr w:rsidR="00EE68AE" w:rsidRPr="00F57178" w14:paraId="7FCC50E9" w14:textId="77777777" w:rsidTr="001D6F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FFFFF"/>
            <w:hideMark/>
          </w:tcPr>
          <w:p w14:paraId="282975C7" w14:textId="77777777" w:rsidR="00EE68AE" w:rsidRPr="00F57178" w:rsidRDefault="00EE68AE" w:rsidP="00F57178">
            <w:pPr>
              <w:spacing w:before="100" w:after="100" w:line="278" w:lineRule="auto"/>
              <w:jc w:val="center"/>
              <w:rPr>
                <w:rFonts w:ascii="Times New Roman" w:hAnsi="Times New Roman" w:cs="Times New Roman"/>
                <w:sz w:val="22"/>
                <w:szCs w:val="28"/>
              </w:rPr>
            </w:pPr>
            <w:r w:rsidRPr="00F57178">
              <w:rPr>
                <w:rFonts w:ascii="Times New Roman" w:hAnsi="Times New Roman" w:cs="Times New Roman"/>
                <w:sz w:val="22"/>
                <w:szCs w:val="28"/>
              </w:rPr>
              <w:t>24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hideMark/>
          </w:tcPr>
          <w:p w14:paraId="59982E7B"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Extend rate-risk analysis to include Gamma and the revised holdings.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hideMark/>
          </w:tcPr>
          <w:p w14:paraId="3E3C00B2"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Retain only the original Beta–Delta stress results.</w:t>
            </w:r>
          </w:p>
        </w:tc>
        <w:tc>
          <w:tcPr>
            <w:tcW w:w="6912" w:type="dxa"/>
            <w:tcBorders>
              <w:top w:val="single" w:sz="4" w:space="0" w:color="D9D9D9"/>
              <w:left w:val="single" w:sz="4" w:space="0" w:color="D9D9D9"/>
              <w:bottom w:val="single" w:sz="4" w:space="0" w:color="D9D9D9"/>
              <w:right w:val="single" w:sz="4" w:space="0" w:color="D9D9D9"/>
            </w:tcBorders>
            <w:shd w:val="clear" w:color="auto" w:fill="FFFFFF"/>
            <w:hideMark/>
          </w:tcPr>
          <w:p w14:paraId="1EF3889A"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Exact repricing gives a </w:t>
            </w:r>
            <w:r w:rsidRPr="00F57178">
              <w:rPr>
                <w:rFonts w:ascii="Times New Roman" w:hAnsi="Times New Roman" w:cs="Times New Roman"/>
                <w:bCs/>
                <w:sz w:val="22"/>
                <w:szCs w:val="28"/>
              </w:rPr>
              <w:t>USD 178,263.66 loss under +100 bp</w:t>
            </w:r>
            <w:r w:rsidRPr="00F57178">
              <w:rPr>
                <w:rFonts w:ascii="Times New Roman" w:hAnsi="Times New Roman" w:cs="Times New Roman"/>
                <w:sz w:val="22"/>
                <w:szCs w:val="28"/>
              </w:rPr>
              <w:t>, a USD 186,774.00 gain under −100 bp and a USD 27,321.51 gain under the stated YTM twist. These are modeled market-value changes. Contractual payment coverage remains intact when bonds are held to maturity under the case’s default-free assumption.</w:t>
            </w:r>
          </w:p>
        </w:tc>
      </w:tr>
      <w:tr w:rsidR="00326B51" w:rsidRPr="00F57178" w14:paraId="357A4F5F" w14:textId="77777777" w:rsidTr="00326B51">
        <w:trPr>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5F7FA"/>
          </w:tcPr>
          <w:p w14:paraId="5C48FA19" w14:textId="43DD2AAA" w:rsidR="00326B51" w:rsidRPr="00F57178" w:rsidRDefault="0008448E" w:rsidP="00F57178">
            <w:pPr>
              <w:spacing w:before="100" w:after="100"/>
              <w:jc w:val="center"/>
              <w:rPr>
                <w:rFonts w:ascii="Times New Roman" w:hAnsi="Times New Roman" w:cs="Times New Roman"/>
                <w:sz w:val="22"/>
                <w:szCs w:val="28"/>
              </w:rPr>
            </w:pPr>
            <w:r w:rsidRPr="00F57178">
              <w:rPr>
                <w:rFonts w:ascii="Times New Roman" w:hAnsi="Times New Roman" w:cs="Times New Roman"/>
                <w:sz w:val="22"/>
                <w:szCs w:val="28"/>
              </w:rPr>
              <w:lastRenderedPageBreak/>
              <w:t>2</w:t>
            </w:r>
            <w:r>
              <w:rPr>
                <w:rFonts w:ascii="Times New Roman" w:hAnsi="Times New Roman" w:cs="Times New Roman"/>
                <w:sz w:val="22"/>
                <w:szCs w:val="28"/>
              </w:rPr>
              <w:t>6</w:t>
            </w:r>
            <w:r w:rsidRPr="00F57178">
              <w:rPr>
                <w:rFonts w:ascii="Times New Roman" w:hAnsi="Times New Roman" w:cs="Times New Roman"/>
                <w:sz w:val="22"/>
                <w:szCs w:val="28"/>
              </w:rPr>
              <w:t xml:space="preserve">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5F7FA"/>
          </w:tcPr>
          <w:p w14:paraId="76AF69DE" w14:textId="77777777" w:rsidR="00326B51" w:rsidRPr="00F57178" w:rsidRDefault="00000000">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Adopt principal matching as the group’s revised funding recommendation: 2,400 Beta, 1,200 Gamma and 2,400 Delta bonds.</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Pr>
          <w:p w14:paraId="427D7338" w14:textId="77777777" w:rsidR="00326B51" w:rsidRPr="00F57178" w:rsidRDefault="00000000">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Coupon funding with 2,400 Beta, approximately 846.428571 Gamma and 2,400 Delta bonds.</w:t>
            </w:r>
          </w:p>
        </w:tc>
        <w:tc>
          <w:tcPr>
            <w:tcW w:w="6912" w:type="dxa"/>
            <w:tcBorders>
              <w:top w:val="single" w:sz="4" w:space="0" w:color="D9D9D9"/>
              <w:left w:val="single" w:sz="4" w:space="0" w:color="D9D9D9"/>
              <w:bottom w:val="single" w:sz="4" w:space="0" w:color="D9D9D9"/>
              <w:right w:val="single" w:sz="4" w:space="0" w:color="D9D9D9"/>
            </w:tcBorders>
            <w:shd w:val="clear" w:color="auto" w:fill="F5F7FA"/>
          </w:tcPr>
          <w:p w14:paraId="61B9F1B3" w14:textId="77777777" w:rsidR="00326B51" w:rsidRPr="00F57178" w:rsidRDefault="00000000">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Both policies meet the mandatory payments. Principal matching costs USD 5,784,228 and retains USD 564,000 in 2030. The group accepts its higher required equity CAGR of 4.7951%, versus 4.6309% for coupon funding, in exchange for principal receipts matching each payment date and a larger retained cash reserve.</w:t>
            </w:r>
          </w:p>
        </w:tc>
      </w:tr>
    </w:tbl>
    <w:p w14:paraId="3043C634" w14:textId="77777777" w:rsidR="00EE68AE" w:rsidRPr="00F57178" w:rsidRDefault="00EE68AE" w:rsidP="00EE68AE">
      <w:pPr>
        <w:spacing w:after="120"/>
        <w:rPr>
          <w:rFonts w:ascii="Times New Roman" w:hAnsi="Times New Roman" w:cs="Times New Roman"/>
          <w:sz w:val="22"/>
          <w:szCs w:val="28"/>
        </w:rPr>
      </w:pPr>
      <w:r w:rsidRPr="00F57178">
        <w:rPr>
          <w:rFonts w:ascii="Times New Roman" w:hAnsi="Times New Roman" w:cs="Times New Roman"/>
          <w:sz w:val="22"/>
          <w:szCs w:val="28"/>
        </w:rPr>
        <w:t>Supporting outputs in bond_funding/outputs/revised/: original_vs_revised_mandate.csv, revised_holdings.csv, principal_matching_ledger.csv, coupon_funding_ledger.csv, revised_funding_summary.csv, revised_rate_scenario_detail.csv, revised_rate_scenario_summary.csv.</w:t>
      </w:r>
    </w:p>
    <w:p w14:paraId="331798CD" w14:textId="77777777" w:rsidR="001278A8" w:rsidRPr="00F57178" w:rsidRDefault="001278A8">
      <w:pPr>
        <w:spacing w:after="120"/>
        <w:rPr>
          <w:rFonts w:ascii="Times New Roman" w:hAnsi="Times New Roman" w:cs="Times New Roman"/>
          <w:sz w:val="22"/>
          <w:szCs w:val="28"/>
        </w:rPr>
      </w:pPr>
    </w:p>
    <w:sectPr w:rsidR="001278A8" w:rsidRPr="00F57178">
      <w:pgSz w:w="16848" w:h="11952"/>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E729F"/>
    <w:multiLevelType w:val="multilevel"/>
    <w:tmpl w:val="330A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01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D9"/>
    <w:rsid w:val="0008448E"/>
    <w:rsid w:val="001278A8"/>
    <w:rsid w:val="001D6FB5"/>
    <w:rsid w:val="0025559C"/>
    <w:rsid w:val="002C3F68"/>
    <w:rsid w:val="00326B51"/>
    <w:rsid w:val="00787A86"/>
    <w:rsid w:val="008B064B"/>
    <w:rsid w:val="0099448D"/>
    <w:rsid w:val="00C529DD"/>
    <w:rsid w:val="00D452D9"/>
    <w:rsid w:val="00EE68AE"/>
    <w:rsid w:val="00F57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1906"/>
  <w15:chartTrackingRefBased/>
  <w15:docId w15:val="{E9D65ACB-C094-40D7-A677-C26D3AFED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000000"/>
      <w:sz w:val="20"/>
    </w:rPr>
  </w:style>
  <w:style w:type="paragraph" w:styleId="Heading1">
    <w:name w:val="heading 1"/>
    <w:basedOn w:val="Normal"/>
    <w:next w:val="Normal"/>
    <w:link w:val="Heading1Char"/>
    <w:uiPriority w:val="9"/>
    <w:qFormat/>
    <w:rsid w:val="00D45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D9"/>
    <w:rPr>
      <w:rFonts w:eastAsiaTheme="majorEastAsia" w:cstheme="majorBidi"/>
      <w:color w:val="272727" w:themeColor="text1" w:themeTint="D8"/>
    </w:rPr>
  </w:style>
  <w:style w:type="paragraph" w:styleId="Title">
    <w:name w:val="Title"/>
    <w:basedOn w:val="Normal"/>
    <w:next w:val="Normal"/>
    <w:link w:val="TitleChar"/>
    <w:uiPriority w:val="10"/>
    <w:qFormat/>
    <w:rsid w:val="00D452D9"/>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D45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D9"/>
    <w:pPr>
      <w:spacing w:before="160"/>
      <w:jc w:val="center"/>
    </w:pPr>
    <w:rPr>
      <w:i/>
      <w:iCs/>
      <w:color w:val="404040" w:themeColor="text1" w:themeTint="BF"/>
    </w:rPr>
  </w:style>
  <w:style w:type="character" w:customStyle="1" w:styleId="QuoteChar">
    <w:name w:val="Quote Char"/>
    <w:basedOn w:val="DefaultParagraphFont"/>
    <w:link w:val="Quote"/>
    <w:uiPriority w:val="29"/>
    <w:rsid w:val="00D452D9"/>
    <w:rPr>
      <w:i/>
      <w:iCs/>
      <w:color w:val="404040" w:themeColor="text1" w:themeTint="BF"/>
    </w:rPr>
  </w:style>
  <w:style w:type="paragraph" w:styleId="ListParagraph">
    <w:name w:val="List Paragraph"/>
    <w:basedOn w:val="Normal"/>
    <w:uiPriority w:val="34"/>
    <w:qFormat/>
    <w:rsid w:val="00D452D9"/>
    <w:pPr>
      <w:ind w:left="720"/>
      <w:contextualSpacing/>
    </w:pPr>
  </w:style>
  <w:style w:type="character" w:styleId="IntenseEmphasis">
    <w:name w:val="Intense Emphasis"/>
    <w:basedOn w:val="DefaultParagraphFont"/>
    <w:uiPriority w:val="21"/>
    <w:qFormat/>
    <w:rsid w:val="00D452D9"/>
    <w:rPr>
      <w:i/>
      <w:iCs/>
      <w:color w:val="0F4761" w:themeColor="accent1" w:themeShade="BF"/>
    </w:rPr>
  </w:style>
  <w:style w:type="paragraph" w:styleId="IntenseQuote">
    <w:name w:val="Intense Quote"/>
    <w:basedOn w:val="Normal"/>
    <w:next w:val="Normal"/>
    <w:link w:val="IntenseQuoteChar"/>
    <w:uiPriority w:val="30"/>
    <w:qFormat/>
    <w:rsid w:val="00D45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D9"/>
    <w:rPr>
      <w:i/>
      <w:iCs/>
      <w:color w:val="0F4761" w:themeColor="accent1" w:themeShade="BF"/>
    </w:rPr>
  </w:style>
  <w:style w:type="character" w:styleId="IntenseReference">
    <w:name w:val="Intense Reference"/>
    <w:basedOn w:val="DefaultParagraphFont"/>
    <w:uiPriority w:val="32"/>
    <w:qFormat/>
    <w:rsid w:val="00D452D9"/>
    <w:rPr>
      <w:b/>
      <w:bCs/>
      <w:smallCaps/>
      <w:color w:val="0F4761" w:themeColor="accent1" w:themeShade="BF"/>
      <w:spacing w:val="5"/>
    </w:rPr>
  </w:style>
  <w:style w:type="table" w:styleId="GridTable3">
    <w:name w:val="Grid Table 3"/>
    <w:basedOn w:val="TableNormal"/>
    <w:uiPriority w:val="48"/>
    <w:rsid w:val="00EE68A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C3F6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Thảo An</dc:creator>
  <cp:keywords/>
  <dc:description/>
  <cp:lastModifiedBy>Nguyễn Ngọc Thảo An</cp:lastModifiedBy>
  <cp:revision>3</cp:revision>
  <dcterms:created xsi:type="dcterms:W3CDTF">2026-10-26T14:03:00Z</dcterms:created>
  <dcterms:modified xsi:type="dcterms:W3CDTF">2026-10-26T14:04:00Z</dcterms:modified>
</cp:coreProperties>
</file>