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6639" w14:textId="77777777" w:rsidR="007557F3" w:rsidRPr="005B3F06" w:rsidRDefault="007557F3" w:rsidP="00DE6BFC">
      <w:pPr>
        <w:pStyle w:val="MemoSubtitle"/>
        <w:spacing w:after="0"/>
        <w:rPr>
          <w:rFonts w:ascii="Times New Roman" w:hAnsi="Times New Roman" w:cs="Times New Roman"/>
          <w:b/>
          <w:bCs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Group 4</w:t>
      </w:r>
    </w:p>
    <w:p w14:paraId="4FA05313" w14:textId="77777777" w:rsidR="007557F3" w:rsidRPr="005B3F06" w:rsidRDefault="007557F3" w:rsidP="00DE6BFC">
      <w:pPr>
        <w:pStyle w:val="MemoSubtitle"/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t>Nguyễn Ngọc Thảo An – 103240210</w:t>
      </w:r>
    </w:p>
    <w:p w14:paraId="549FECD9" w14:textId="77777777" w:rsidR="007557F3" w:rsidRPr="005B3F06" w:rsidRDefault="007557F3" w:rsidP="00DE6BFC">
      <w:pPr>
        <w:pStyle w:val="MemoSubtitle"/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t xml:space="preserve">Lê </w:t>
      </w:r>
      <w:proofErr w:type="spellStart"/>
      <w:r w:rsidRPr="005B3F06">
        <w:rPr>
          <w:rFonts w:ascii="Times New Roman" w:hAnsi="Times New Roman" w:cs="Times New Roman"/>
          <w:color w:val="auto"/>
        </w:rPr>
        <w:t>Hồ</w:t>
      </w:r>
      <w:proofErr w:type="spellEnd"/>
      <w:r w:rsidRPr="005B3F06">
        <w:rPr>
          <w:rFonts w:ascii="Times New Roman" w:hAnsi="Times New Roman" w:cs="Times New Roman"/>
          <w:color w:val="auto"/>
        </w:rPr>
        <w:t xml:space="preserve"> Thu Giang – 106240409</w:t>
      </w:r>
    </w:p>
    <w:p w14:paraId="164E1EB8" w14:textId="77777777" w:rsidR="007557F3" w:rsidRPr="005B3F06" w:rsidRDefault="007557F3" w:rsidP="00DE6BFC">
      <w:pPr>
        <w:pStyle w:val="MemoSubtitle"/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t>Nguyễn Đặng Quốc Đạt – 106240045</w:t>
      </w:r>
    </w:p>
    <w:p w14:paraId="41A64178" w14:textId="77777777" w:rsidR="007557F3" w:rsidRPr="005B3F06" w:rsidRDefault="007557F3" w:rsidP="00DE6BFC">
      <w:pPr>
        <w:pStyle w:val="MemoTitle"/>
        <w:spacing w:after="0"/>
        <w:rPr>
          <w:rFonts w:ascii="Times New Roman" w:hAnsi="Times New Roman" w:cs="Times New Roman"/>
          <w:color w:val="auto"/>
          <w:sz w:val="18"/>
          <w:szCs w:val="12"/>
        </w:rPr>
      </w:pPr>
    </w:p>
    <w:p w14:paraId="1C983C40" w14:textId="3BEE57AC" w:rsidR="00AB1669" w:rsidRPr="005B3F06" w:rsidRDefault="00000000" w:rsidP="00DE6BFC">
      <w:pPr>
        <w:pStyle w:val="MemoTitle"/>
        <w:spacing w:after="0"/>
        <w:jc w:val="center"/>
        <w:rPr>
          <w:rFonts w:ascii="Times New Roman" w:hAnsi="Times New Roman" w:cs="Times New Roman"/>
          <w:color w:val="1F497D" w:themeColor="text2"/>
        </w:rPr>
      </w:pPr>
      <w:r w:rsidRPr="005B3F06">
        <w:rPr>
          <w:rFonts w:ascii="Times New Roman" w:hAnsi="Times New Roman" w:cs="Times New Roman"/>
          <w:color w:val="1F497D" w:themeColor="text2"/>
        </w:rPr>
        <w:t>KAPPA FOUNDATION</w:t>
      </w:r>
    </w:p>
    <w:p w14:paraId="174C1B4D" w14:textId="51F1ACE2" w:rsidR="00AB1669" w:rsidRPr="005B3F06" w:rsidRDefault="00000000" w:rsidP="00DE6BFC">
      <w:pPr>
        <w:pStyle w:val="MemoSubtitle"/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t xml:space="preserve">Initial Decision </w:t>
      </w:r>
      <w:proofErr w:type="gramStart"/>
      <w:r w:rsidRPr="005B3F06">
        <w:rPr>
          <w:rFonts w:ascii="Times New Roman" w:hAnsi="Times New Roman" w:cs="Times New Roman"/>
          <w:color w:val="auto"/>
        </w:rPr>
        <w:t>Record  |</w:t>
      </w:r>
      <w:proofErr w:type="gramEnd"/>
      <w:r w:rsidRPr="005B3F06">
        <w:rPr>
          <w:rFonts w:ascii="Times New Roman" w:hAnsi="Times New Roman" w:cs="Times New Roman"/>
          <w:color w:val="auto"/>
        </w:rPr>
        <w:t xml:space="preserve">  Case decision: 31 December 2022  </w:t>
      </w:r>
    </w:p>
    <w:p w14:paraId="392290BE" w14:textId="77777777" w:rsidR="00DE6BFC" w:rsidRPr="005B3F06" w:rsidRDefault="00DE6BFC" w:rsidP="00DE6BFC">
      <w:pPr>
        <w:pStyle w:val="MemoSubtitle"/>
        <w:spacing w:after="0"/>
        <w:rPr>
          <w:rFonts w:ascii="Times New Roman" w:hAnsi="Times New Roman" w:cs="Times New Roman"/>
          <w:color w:val="auto"/>
        </w:rPr>
      </w:pPr>
    </w:p>
    <w:p w14:paraId="5DC0075A" w14:textId="77777777" w:rsidR="00AB1669" w:rsidRPr="005B3F06" w:rsidRDefault="00000000" w:rsidP="00DE6BFC">
      <w:pPr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t>Proposed policy. Reserve sufficient default-free case-bond principal for the two fixed liabilities; invest the remaining initial capital in a constrained growth portfolio. The 2030 real-value objective is a target, not a guaranteed outcome. We select Sample Mean-Variance (MV) for growth, conditional on the stated assumptions and risk review rules.</w:t>
      </w:r>
    </w:p>
    <w:p w14:paraId="2AE6F23F" w14:textId="1B688895" w:rsidR="00AB1669" w:rsidRPr="005B3F06" w:rsidRDefault="00000000" w:rsidP="00DE6BFC">
      <w:pPr>
        <w:pStyle w:val="SectionHead"/>
        <w:numPr>
          <w:ilvl w:val="0"/>
          <w:numId w:val="10"/>
        </w:numPr>
        <w:spacing w:after="0"/>
        <w:rPr>
          <w:rFonts w:ascii="Times New Roman" w:hAnsi="Times New Roman" w:cs="Times New Roman"/>
          <w:color w:val="1F497D" w:themeColor="text2"/>
        </w:rPr>
      </w:pPr>
      <w:r w:rsidRPr="005B3F06">
        <w:rPr>
          <w:rFonts w:ascii="Times New Roman" w:hAnsi="Times New Roman" w:cs="Times New Roman"/>
          <w:color w:val="1F497D" w:themeColor="text2"/>
        </w:rPr>
        <w:t>Candidate universe</w:t>
      </w:r>
    </w:p>
    <w:p w14:paraId="03E8F76B" w14:textId="2EA318CF" w:rsidR="004A026A" w:rsidRPr="005B3F06" w:rsidRDefault="004A026A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drawing>
          <wp:anchor distT="0" distB="0" distL="114300" distR="114300" simplePos="0" relativeHeight="251656704" behindDoc="0" locked="0" layoutInCell="1" allowOverlap="1" wp14:anchorId="41FB8C79" wp14:editId="157FD9A4">
            <wp:simplePos x="0" y="0"/>
            <wp:positionH relativeFrom="column">
              <wp:posOffset>-1905</wp:posOffset>
            </wp:positionH>
            <wp:positionV relativeFrom="paragraph">
              <wp:posOffset>25400</wp:posOffset>
            </wp:positionV>
            <wp:extent cx="2479040" cy="1619250"/>
            <wp:effectExtent l="0" t="0" r="0" b="0"/>
            <wp:wrapSquare wrapText="bothSides"/>
            <wp:docPr id="169303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34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81999" w14:textId="40135F39" w:rsidR="00AB1669" w:rsidRPr="005B3F06" w:rsidRDefault="00000000" w:rsidP="00DE6BFC">
      <w:pPr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t xml:space="preserve">These offer distinct mandates; a </w:t>
      </w:r>
      <w:proofErr w:type="gramStart"/>
      <w:r w:rsidRPr="005B3F06">
        <w:rPr>
          <w:rFonts w:ascii="Times New Roman" w:hAnsi="Times New Roman" w:cs="Times New Roman"/>
          <w:color w:val="auto"/>
        </w:rPr>
        <w:t>zero portfolio</w:t>
      </w:r>
      <w:proofErr w:type="gramEnd"/>
      <w:r w:rsidRPr="005B3F06">
        <w:rPr>
          <w:rFonts w:ascii="Times New Roman" w:hAnsi="Times New Roman" w:cs="Times New Roman"/>
          <w:color w:val="auto"/>
        </w:rPr>
        <w:t xml:space="preserve"> weight is permitted. Eligibility as at the case date must be documented in the dated data record.</w:t>
      </w:r>
    </w:p>
    <w:p w14:paraId="0E4BE9D3" w14:textId="77777777" w:rsidR="004A026A" w:rsidRPr="005B3F06" w:rsidRDefault="004A026A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</w:p>
    <w:p w14:paraId="2CEA7CA6" w14:textId="77777777" w:rsidR="004A026A" w:rsidRPr="005B3F06" w:rsidRDefault="004A026A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</w:p>
    <w:p w14:paraId="75863C92" w14:textId="77777777" w:rsidR="004A026A" w:rsidRPr="005B3F06" w:rsidRDefault="004A026A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</w:p>
    <w:p w14:paraId="2FE766A6" w14:textId="77777777" w:rsidR="004A026A" w:rsidRPr="005B3F06" w:rsidRDefault="004A026A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</w:p>
    <w:p w14:paraId="1E88434E" w14:textId="77777777" w:rsidR="004A026A" w:rsidRPr="005B3F06" w:rsidRDefault="004A026A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</w:p>
    <w:p w14:paraId="491E0B13" w14:textId="608A5E74" w:rsidR="00DE6BFC" w:rsidRPr="005B3F06" w:rsidRDefault="00000000" w:rsidP="00DE6BFC">
      <w:pPr>
        <w:pStyle w:val="SectionHead"/>
        <w:numPr>
          <w:ilvl w:val="0"/>
          <w:numId w:val="10"/>
        </w:numPr>
        <w:spacing w:after="0"/>
        <w:rPr>
          <w:rFonts w:ascii="Times New Roman" w:hAnsi="Times New Roman" w:cs="Times New Roman"/>
          <w:color w:val="1F497D" w:themeColor="text2"/>
        </w:rPr>
      </w:pPr>
      <w:r w:rsidRPr="005B3F06">
        <w:rPr>
          <w:rFonts w:ascii="Times New Roman" w:hAnsi="Times New Roman" w:cs="Times New Roman"/>
          <w:color w:val="1F497D" w:themeColor="text2"/>
        </w:rPr>
        <w:t>Estimation window</w:t>
      </w:r>
    </w:p>
    <w:p w14:paraId="542135C9" w14:textId="79BFA384" w:rsidR="00E453A8" w:rsidRPr="005B3F06" w:rsidRDefault="00E453A8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Cs/>
          <w:color w:val="auto"/>
        </w:rPr>
        <w:drawing>
          <wp:anchor distT="0" distB="0" distL="114300" distR="114300" simplePos="0" relativeHeight="251659776" behindDoc="0" locked="0" layoutInCell="1" allowOverlap="1" wp14:anchorId="4F6B1576" wp14:editId="76F91830">
            <wp:simplePos x="0" y="0"/>
            <wp:positionH relativeFrom="column">
              <wp:posOffset>-1800</wp:posOffset>
            </wp:positionH>
            <wp:positionV relativeFrom="paragraph">
              <wp:posOffset>26735</wp:posOffset>
            </wp:positionV>
            <wp:extent cx="2497112" cy="922478"/>
            <wp:effectExtent l="0" t="0" r="0" b="0"/>
            <wp:wrapSquare wrapText="bothSides"/>
            <wp:docPr id="31871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7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7112" cy="92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F06">
        <w:rPr>
          <w:rFonts w:ascii="Times New Roman" w:hAnsi="Times New Roman" w:cs="Times New Roman"/>
          <w:bCs/>
          <w:color w:val="auto"/>
          <w:sz w:val="18"/>
          <w:szCs w:val="18"/>
        </w:rPr>
        <w:t>Data treatment:</w:t>
      </w:r>
      <w:r w:rsidRPr="005B3F06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 December 2014 adjusted prices are required to calculate January 2015 returns. Only observations available through the 31 December 2022 information cutoff are used for portfolio estimation and selection. January 2023</w:t>
      </w:r>
      <w:r w:rsidR="00DE6BFC" w:rsidRPr="005B3F06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 - </w:t>
      </w:r>
      <w:r w:rsidRPr="005B3F06">
        <w:rPr>
          <w:rFonts w:ascii="Times New Roman" w:hAnsi="Times New Roman" w:cs="Times New Roman"/>
          <w:b w:val="0"/>
          <w:color w:val="auto"/>
          <w:sz w:val="18"/>
          <w:szCs w:val="18"/>
        </w:rPr>
        <w:t>December 2025 is reserved for out-of-sample evaluation.</w:t>
      </w:r>
    </w:p>
    <w:p w14:paraId="5A15D67E" w14:textId="77777777" w:rsidR="00E453A8" w:rsidRPr="005B3F06" w:rsidRDefault="00E453A8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</w:p>
    <w:p w14:paraId="24EB39EB" w14:textId="77777777" w:rsidR="00DE6BFC" w:rsidRPr="005B3F06" w:rsidRDefault="00DE6BFC" w:rsidP="00DE6BFC">
      <w:pPr>
        <w:pStyle w:val="SectionHead"/>
        <w:spacing w:after="0"/>
        <w:rPr>
          <w:rFonts w:ascii="Times New Roman" w:hAnsi="Times New Roman" w:cs="Times New Roman"/>
          <w:color w:val="auto"/>
        </w:rPr>
      </w:pPr>
    </w:p>
    <w:p w14:paraId="1F4C29E9" w14:textId="0F4CBC7A" w:rsidR="00AB1669" w:rsidRPr="005B3F06" w:rsidRDefault="00000000" w:rsidP="00DE6BFC">
      <w:pPr>
        <w:pStyle w:val="SectionHead"/>
        <w:numPr>
          <w:ilvl w:val="0"/>
          <w:numId w:val="10"/>
        </w:numPr>
        <w:spacing w:after="0"/>
        <w:rPr>
          <w:rFonts w:ascii="Times New Roman" w:hAnsi="Times New Roman" w:cs="Times New Roman"/>
          <w:color w:val="1F497D" w:themeColor="text2"/>
        </w:rPr>
      </w:pPr>
      <w:r w:rsidRPr="005B3F06">
        <w:rPr>
          <w:rFonts w:ascii="Times New Roman" w:hAnsi="Times New Roman" w:cs="Times New Roman"/>
          <w:color w:val="1F497D" w:themeColor="text2"/>
        </w:rPr>
        <w:t>Benchmark</w:t>
      </w:r>
    </w:p>
    <w:p w14:paraId="47F084D8" w14:textId="7E1795BF" w:rsidR="00AB1669" w:rsidRPr="005B3F06" w:rsidRDefault="00DE6BFC" w:rsidP="00DE6BFC">
      <w:pPr>
        <w:pStyle w:val="NormalWeb"/>
        <w:spacing w:after="0" w:afterAutospacing="0"/>
        <w:rPr>
          <w:sz w:val="18"/>
          <w:szCs w:val="18"/>
        </w:rPr>
      </w:pPr>
      <w:r w:rsidRPr="005B3F06">
        <w:rPr>
          <w:sz w:val="18"/>
          <w:szCs w:val="18"/>
        </w:rPr>
        <w:t xml:space="preserve">We </w:t>
      </w:r>
      <w:proofErr w:type="gramStart"/>
      <w:r w:rsidRPr="005B3F06">
        <w:rPr>
          <w:sz w:val="18"/>
          <w:szCs w:val="18"/>
        </w:rPr>
        <w:t>select</w:t>
      </w:r>
      <w:proofErr w:type="gramEnd"/>
      <w:r w:rsidRPr="005B3F06">
        <w:rPr>
          <w:sz w:val="18"/>
          <w:szCs w:val="18"/>
        </w:rPr>
        <w:t xml:space="preserve"> the Vanguard Total Stock Market ETF (VTI) as a diversified, investable benchmark for the growth portfolio. VTI represents the broad US equity market and provides a simple alternative against which to evaluate our investment strategy. For a fair comparison, both portfolios use the same entry date, transaction costs, dividend treatment, and evaluation period. The bond allocation is assessed separately based on contractual cash flows and interest-rate scenarios.</w:t>
      </w:r>
    </w:p>
    <w:p w14:paraId="71252AF5" w14:textId="5008DD9D" w:rsidR="00AB1669" w:rsidRPr="005B3F06" w:rsidRDefault="00000000" w:rsidP="00DE6BFC">
      <w:pPr>
        <w:pStyle w:val="SectionHead"/>
        <w:numPr>
          <w:ilvl w:val="0"/>
          <w:numId w:val="10"/>
        </w:numPr>
        <w:spacing w:after="0"/>
        <w:rPr>
          <w:rFonts w:ascii="Times New Roman" w:hAnsi="Times New Roman" w:cs="Times New Roman"/>
          <w:color w:val="1F497D" w:themeColor="text2"/>
        </w:rPr>
      </w:pPr>
      <w:r w:rsidRPr="005B3F06">
        <w:rPr>
          <w:rFonts w:ascii="Times New Roman" w:hAnsi="Times New Roman" w:cs="Times New Roman"/>
          <w:color w:val="1F497D" w:themeColor="text2"/>
        </w:rPr>
        <w:t>Initial dollar allocation (USD 12 million)</w:t>
      </w:r>
    </w:p>
    <w:p w14:paraId="0BCF8D54" w14:textId="78DAEDDD" w:rsidR="00DE6BFC" w:rsidRPr="005B3F06" w:rsidRDefault="00DE6BFC" w:rsidP="00DE6BFC">
      <w:pPr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drawing>
          <wp:inline distT="0" distB="0" distL="0" distR="0" wp14:anchorId="1EBE6047" wp14:editId="54070989">
            <wp:extent cx="5356032" cy="1157468"/>
            <wp:effectExtent l="0" t="0" r="0" b="5080"/>
            <wp:docPr id="13067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6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3211" cy="116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0F87" w14:textId="3596A87D" w:rsidR="00DE6BFC" w:rsidRPr="005B3F06" w:rsidRDefault="00000000" w:rsidP="00DE6BFC">
      <w:pPr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color w:val="auto"/>
        </w:rPr>
        <w:t xml:space="preserve">Growth purchases (share of growth / USD): </w:t>
      </w:r>
      <w:r w:rsidRPr="005B3F06">
        <w:rPr>
          <w:rFonts w:ascii="Times New Roman" w:hAnsi="Times New Roman" w:cs="Times New Roman"/>
          <w:color w:val="auto"/>
        </w:rPr>
        <w:t>Eight positive holdings; BAC, XOM, VTV and IWM receive zero weight.</w:t>
      </w:r>
    </w:p>
    <w:p w14:paraId="069F4E08" w14:textId="183AFF91" w:rsidR="00DE6BFC" w:rsidRPr="005B3F06" w:rsidRDefault="00DE6BFC" w:rsidP="00DE6BFC">
      <w:pPr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drawing>
          <wp:inline distT="0" distB="0" distL="0" distR="0" wp14:anchorId="5648F1D4" wp14:editId="4EBBDDDB">
            <wp:extent cx="5306992" cy="1080020"/>
            <wp:effectExtent l="0" t="0" r="0" b="6350"/>
            <wp:docPr id="83683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1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00" cy="108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933E" w14:textId="77777777" w:rsidR="00AB1669" w:rsidRPr="005B3F06" w:rsidRDefault="00000000" w:rsidP="00DE6BFC">
      <w:pPr>
        <w:pStyle w:val="SmallFoot"/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t>Funding cash flows: Beta pays $2.4m in 2024. Delta pays $126,000 coupons each year 2023-2027 and $3.6m principal in 2027. Base policy holds the $630,000 accumulated coupons in cash at 0% through 2030; coupons are neither added to initial growth capital nor counted twice against the liabilities.</w:t>
      </w:r>
    </w:p>
    <w:p w14:paraId="3513714A" w14:textId="77777777" w:rsidR="00AB1669" w:rsidRPr="005B3F06" w:rsidRDefault="00000000" w:rsidP="00DE6BFC">
      <w:pPr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br w:type="page"/>
      </w:r>
    </w:p>
    <w:p w14:paraId="625995DA" w14:textId="23043B25" w:rsidR="00AB1669" w:rsidRPr="005B3F06" w:rsidRDefault="00000000" w:rsidP="005B3F06">
      <w:pPr>
        <w:pStyle w:val="SectionHead"/>
        <w:numPr>
          <w:ilvl w:val="0"/>
          <w:numId w:val="10"/>
        </w:numPr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1F497D" w:themeColor="text2"/>
        </w:rPr>
        <w:lastRenderedPageBreak/>
        <w:t>Material assumptions and decision evidence</w:t>
      </w:r>
    </w:p>
    <w:p w14:paraId="189F0AD5" w14:textId="77777777" w:rsidR="00EB20B7" w:rsidRPr="005B3F06" w:rsidRDefault="00EB20B7" w:rsidP="005B3F06">
      <w:pPr>
        <w:spacing w:line="240" w:lineRule="auto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Investment constraints.</w:t>
      </w:r>
      <w:r w:rsidRPr="005B3F06">
        <w:rPr>
          <w:rFonts w:ascii="Times New Roman" w:hAnsi="Times New Roman" w:cs="Times New Roman"/>
          <w:color w:val="auto"/>
        </w:rPr>
        <w:t xml:space="preserve"> We follow the case restrictions on borrowing, short selling and derivatives. Each direct stock is limited to 15% of the growth portfolio, with a 30% limit per direct-stock sector to control concentration risk.</w:t>
      </w:r>
    </w:p>
    <w:p w14:paraId="21E30996" w14:textId="77777777" w:rsidR="00EB20B7" w:rsidRPr="005B3F06" w:rsidRDefault="00EB20B7" w:rsidP="005B3F06">
      <w:pPr>
        <w:spacing w:line="240" w:lineRule="auto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Return and risk assumptions.</w:t>
      </w:r>
      <w:r w:rsidRPr="005B3F06">
        <w:rPr>
          <w:rFonts w:ascii="Times New Roman" w:hAnsi="Times New Roman" w:cs="Times New Roman"/>
          <w:color w:val="auto"/>
        </w:rPr>
        <w:t xml:space="preserve"> Expected annual returns combine 25% of each asset's historical </w:t>
      </w:r>
      <w:proofErr w:type="gramStart"/>
      <w:r w:rsidRPr="005B3F06">
        <w:rPr>
          <w:rFonts w:ascii="Times New Roman" w:hAnsi="Times New Roman" w:cs="Times New Roman"/>
          <w:color w:val="auto"/>
        </w:rPr>
        <w:t>mean</w:t>
      </w:r>
      <w:proofErr w:type="gramEnd"/>
      <w:r w:rsidRPr="005B3F06">
        <w:rPr>
          <w:rFonts w:ascii="Times New Roman" w:hAnsi="Times New Roman" w:cs="Times New Roman"/>
          <w:color w:val="auto"/>
        </w:rPr>
        <w:t xml:space="preserve"> and 75% of VTI's historical </w:t>
      </w:r>
      <w:proofErr w:type="gramStart"/>
      <w:r w:rsidRPr="005B3F06">
        <w:rPr>
          <w:rFonts w:ascii="Times New Roman" w:hAnsi="Times New Roman" w:cs="Times New Roman"/>
          <w:color w:val="auto"/>
        </w:rPr>
        <w:t>mean</w:t>
      </w:r>
      <w:proofErr w:type="gramEnd"/>
      <w:r w:rsidRPr="005B3F06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B3F06">
        <w:rPr>
          <w:rFonts w:ascii="Times New Roman" w:hAnsi="Times New Roman" w:cs="Times New Roman"/>
          <w:color w:val="auto"/>
        </w:rPr>
        <w:t>annualised</w:t>
      </w:r>
      <w:proofErr w:type="spellEnd"/>
      <w:r w:rsidRPr="005B3F06">
        <w:rPr>
          <w:rFonts w:ascii="Times New Roman" w:hAnsi="Times New Roman" w:cs="Times New Roman"/>
          <w:color w:val="auto"/>
        </w:rPr>
        <w:t xml:space="preserve"> by multiplying by 12. This reduces reliance on individual stock estimates. We use A = 3 for the base utility comparison and A = 6 for sensitivity analysis. The utility measure covers the equity sleeve, not the entire fund.</w:t>
      </w:r>
    </w:p>
    <w:p w14:paraId="3C6E5D7C" w14:textId="77777777" w:rsidR="005B3F06" w:rsidRPr="005B3F06" w:rsidRDefault="005B3F06" w:rsidP="005B3F06">
      <w:pPr>
        <w:spacing w:line="240" w:lineRule="auto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Inflation and funding.</w:t>
      </w:r>
      <w:r w:rsidRPr="005B3F06">
        <w:rPr>
          <w:rFonts w:ascii="Times New Roman" w:hAnsi="Times New Roman" w:cs="Times New Roman"/>
          <w:color w:val="auto"/>
        </w:rPr>
        <w:t xml:space="preserve"> We assume 2.3% annual inflation, using the 30 December 2022 US 10-year breakeven rate as a planning reference rather than a forecast. The initial cash buffer is $0, while Delta's coupons are retained at 0% interest. We also test a $250,000 buffer. Equity entry costs are set at 10 bps, </w:t>
      </w:r>
      <w:proofErr w:type="gramStart"/>
      <w:r w:rsidRPr="005B3F06">
        <w:rPr>
          <w:rFonts w:ascii="Times New Roman" w:hAnsi="Times New Roman" w:cs="Times New Roman"/>
          <w:color w:val="auto"/>
        </w:rPr>
        <w:t>including for</w:t>
      </w:r>
      <w:proofErr w:type="gramEnd"/>
      <w:r w:rsidRPr="005B3F06">
        <w:rPr>
          <w:rFonts w:ascii="Times New Roman" w:hAnsi="Times New Roman" w:cs="Times New Roman"/>
          <w:color w:val="auto"/>
        </w:rPr>
        <w:t xml:space="preserve"> VTI, with dividends reflected in adjusted-price return proxies rather than counted twice.</w:t>
      </w:r>
    </w:p>
    <w:p w14:paraId="2AF5CD8C" w14:textId="77777777" w:rsidR="005B3F06" w:rsidRPr="005B3F06" w:rsidRDefault="005B3F06" w:rsidP="005B3F06">
      <w:pPr>
        <w:spacing w:line="240" w:lineRule="auto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Bond valuation.</w:t>
      </w:r>
      <w:r w:rsidRPr="005B3F06">
        <w:rPr>
          <w:rFonts w:ascii="Times New Roman" w:hAnsi="Times New Roman" w:cs="Times New Roman"/>
          <w:color w:val="auto"/>
        </w:rPr>
        <w:t xml:space="preserve"> We derive the first three spot rates from Alpha, Beta and Gamma. Since the fourth-year rate is unavailable, we assume s4 = s3 and infer the fifth-year rate from Delta. We test ±100 bps parallel rate shifts and changes in curve shape to assess valuation risk.</w:t>
      </w:r>
    </w:p>
    <w:p w14:paraId="4FAD901F" w14:textId="77777777" w:rsidR="005B3F06" w:rsidRPr="005B3F06" w:rsidRDefault="005B3F06" w:rsidP="005B3F06">
      <w:pPr>
        <w:spacing w:line="240" w:lineRule="auto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Our decision.</w:t>
      </w:r>
      <w:r w:rsidRPr="005B3F06">
        <w:rPr>
          <w:rFonts w:ascii="Times New Roman" w:hAnsi="Times New Roman" w:cs="Times New Roman"/>
          <w:color w:val="auto"/>
        </w:rPr>
        <w:t xml:space="preserve"> Under the base assumptions, Sample Mean-Variance provides the highest estimated equity utility among the tested portfolios. Minimum-Variance remains a lower-risk alternative. The preference between these two fixed portfolios reverses at approximately A = 8.91. We therefore recommend Sample MV under our stated assumptions, while </w:t>
      </w:r>
      <w:proofErr w:type="spellStart"/>
      <w:r w:rsidRPr="005B3F06">
        <w:rPr>
          <w:rFonts w:ascii="Times New Roman" w:hAnsi="Times New Roman" w:cs="Times New Roman"/>
          <w:color w:val="auto"/>
        </w:rPr>
        <w:t>recognising</w:t>
      </w:r>
      <w:proofErr w:type="spellEnd"/>
      <w:r w:rsidRPr="005B3F06">
        <w:rPr>
          <w:rFonts w:ascii="Times New Roman" w:hAnsi="Times New Roman" w:cs="Times New Roman"/>
          <w:color w:val="auto"/>
        </w:rPr>
        <w:t xml:space="preserve"> that the result is sensitive to risk preferences and return estimates.</w:t>
      </w:r>
    </w:p>
    <w:p w14:paraId="42EEE906" w14:textId="5E7F363A" w:rsidR="00AB1669" w:rsidRPr="005B3F06" w:rsidRDefault="005B3F06" w:rsidP="00DE6BFC">
      <w:pPr>
        <w:spacing w:after="0"/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drawing>
          <wp:inline distT="0" distB="0" distL="0" distR="0" wp14:anchorId="51503D97" wp14:editId="42620809">
            <wp:extent cx="4149156" cy="795170"/>
            <wp:effectExtent l="0" t="0" r="3810" b="5080"/>
            <wp:docPr id="50120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6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1587" cy="7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676A" w14:textId="77777777" w:rsidR="00AB1669" w:rsidRPr="005B3F06" w:rsidRDefault="00000000" w:rsidP="005B3F06">
      <w:pPr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color w:val="auto"/>
        </w:rPr>
        <w:t>Risks and trade-offs. A -30% equity shock plus a +100 bp yield shift for Beta and Delta produces an estimated initial whole-fund mark-to-market decline of about 17.22% using exact bond repricing in the workbook. This breaches the trustees' area of concern near 15%; it is not a return forecast or acceptable-loss guarantee. Matched maturities still meet the two contractual payments if held to maturity under the case's default-free assumption. At 2.3% inflation, the 2030 real-value goal implies roughly $9.596m nominal; with coupons held at 0%, growth equities require about 4.66% annual geometric growth, not a promised return.</w:t>
      </w:r>
    </w:p>
    <w:p w14:paraId="40823E5A" w14:textId="54581A27" w:rsidR="00AB1669" w:rsidRPr="005B3F06" w:rsidRDefault="00000000" w:rsidP="005B3F06">
      <w:pPr>
        <w:pStyle w:val="SectionHead"/>
        <w:numPr>
          <w:ilvl w:val="0"/>
          <w:numId w:val="10"/>
        </w:numPr>
        <w:spacing w:after="0"/>
        <w:rPr>
          <w:rFonts w:ascii="Times New Roman" w:hAnsi="Times New Roman" w:cs="Times New Roman"/>
          <w:color w:val="1F497D" w:themeColor="text2"/>
        </w:rPr>
      </w:pPr>
      <w:r w:rsidRPr="005B3F06">
        <w:rPr>
          <w:rFonts w:ascii="Times New Roman" w:hAnsi="Times New Roman" w:cs="Times New Roman"/>
          <w:color w:val="1F497D" w:themeColor="text2"/>
        </w:rPr>
        <w:t>Evaluation and rebalancing rule (frozen policy)</w:t>
      </w:r>
    </w:p>
    <w:p w14:paraId="5F9ECB4D" w14:textId="77777777" w:rsidR="00AB1669" w:rsidRPr="005B3F06" w:rsidRDefault="00000000" w:rsidP="005B3F06">
      <w:pPr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Implementation:</w:t>
      </w:r>
      <w:r w:rsidRPr="005B3F06">
        <w:rPr>
          <w:rFonts w:ascii="Times New Roman" w:hAnsi="Times New Roman" w:cs="Times New Roman"/>
          <w:color w:val="auto"/>
        </w:rPr>
        <w:t xml:space="preserve"> Establish the fixed dollar allocations above. For evaluation, use fractional equity purchases at the 3 January 2023 closing-price proxy after 10 bp entry costs, and apply the same rule to VTI. This execution convention is specified before viewing the subsequent performance period.</w:t>
      </w:r>
    </w:p>
    <w:p w14:paraId="69EA232F" w14:textId="77777777" w:rsidR="00AB1669" w:rsidRPr="005B3F06" w:rsidRDefault="00000000" w:rsidP="005B3F06">
      <w:pPr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Rebalancing:</w:t>
      </w:r>
      <w:r w:rsidRPr="005B3F06">
        <w:rPr>
          <w:rFonts w:ascii="Times New Roman" w:hAnsi="Times New Roman" w:cs="Times New Roman"/>
          <w:color w:val="auto"/>
        </w:rPr>
        <w:t xml:space="preserve"> No discretionary trading and no resetting equity weights to targets during 2023-2025. Allow weights to drift; model cash dividends reinvested in the same security via adjusted-close total-return proxies. Handle mandatory corporate actions consistently, with no voluntary tender or exchange elections.</w:t>
      </w:r>
    </w:p>
    <w:p w14:paraId="5654B696" w14:textId="77777777" w:rsidR="00AB1669" w:rsidRPr="005B3F06" w:rsidRDefault="00000000" w:rsidP="005B3F06">
      <w:pPr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Monitoring:</w:t>
      </w:r>
      <w:r w:rsidRPr="005B3F06">
        <w:rPr>
          <w:rFonts w:ascii="Times New Roman" w:hAnsi="Times New Roman" w:cs="Times New Roman"/>
          <w:color w:val="auto"/>
        </w:rPr>
        <w:t xml:space="preserve"> Report the growth sleeve's compound return, volatility, maximum drawdown and active return relative to frozen VTI over 2023-2025. Evaluate bonds through contractual cash flows, duration/convexity and explicit yield scenarios rather than fictitious observed bond prices. Record liabilities as withdrawals, not investment losses.</w:t>
      </w:r>
    </w:p>
    <w:p w14:paraId="0AED83A5" w14:textId="77777777" w:rsidR="00AB1669" w:rsidRPr="005B3F06" w:rsidRDefault="00000000" w:rsidP="005B3F06">
      <w:pPr>
        <w:rPr>
          <w:rFonts w:ascii="Times New Roman" w:hAnsi="Times New Roman" w:cs="Times New Roman"/>
          <w:color w:val="auto"/>
        </w:rPr>
      </w:pPr>
      <w:r w:rsidRPr="005B3F06">
        <w:rPr>
          <w:rFonts w:ascii="Times New Roman" w:hAnsi="Times New Roman" w:cs="Times New Roman"/>
          <w:b/>
          <w:bCs/>
          <w:color w:val="auto"/>
        </w:rPr>
        <w:t>Review triggers</w:t>
      </w:r>
      <w:r w:rsidRPr="005B3F06">
        <w:rPr>
          <w:rFonts w:ascii="Times New Roman" w:hAnsi="Times New Roman" w:cs="Times New Roman"/>
          <w:color w:val="auto"/>
        </w:rPr>
        <w:t>: A modelled, withdrawal-adjusted trailing 12-month whole-fund loss of 12% prompts an early warning; at 15% the investment committee must review the policy within 10 business days. A review does not itself authorise retrospective rebalancing. Any post-22 October change, including the trustees' revised mandate, must be logged against this original policy with its date and evidence.</w:t>
      </w:r>
    </w:p>
    <w:p w14:paraId="54DFFAAD" w14:textId="3F8243E7" w:rsidR="00AB1669" w:rsidRPr="005B3F06" w:rsidRDefault="00AB1669" w:rsidP="005B3F06">
      <w:pPr>
        <w:pStyle w:val="SmallFoot"/>
        <w:spacing w:after="60"/>
        <w:rPr>
          <w:rFonts w:ascii="Times New Roman" w:hAnsi="Times New Roman" w:cs="Times New Roman"/>
          <w:color w:val="auto"/>
        </w:rPr>
      </w:pPr>
    </w:p>
    <w:sectPr w:rsidR="00AB1669" w:rsidRPr="005B3F06" w:rsidSect="00034616">
      <w:headerReference w:type="default" r:id="rId13"/>
      <w:footerReference w:type="default" r:id="rId14"/>
      <w:pgSz w:w="11909" w:h="16834"/>
      <w:pgMar w:top="778" w:right="950" w:bottom="806" w:left="950" w:header="317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C23F" w14:textId="77777777" w:rsidR="003076BC" w:rsidRDefault="003076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969348" w14:textId="77777777" w:rsidR="003076BC" w:rsidRDefault="003076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6E71B" w14:textId="77777777" w:rsidR="00AB1669" w:rsidRDefault="00000000">
    <w:pPr>
      <w:pStyle w:val="SmallFoot"/>
      <w:jc w:val="right"/>
      <w:rPr>
        <w:rFonts w:hint="eastAsia"/>
      </w:rPr>
    </w:pPr>
    <w:r>
      <w:t xml:space="preserve">Information cutoff: 31 Dec 2022   |  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896BC4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4CE2E" w14:textId="77777777" w:rsidR="003076BC" w:rsidRDefault="003076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3ABC12" w14:textId="77777777" w:rsidR="003076BC" w:rsidRDefault="003076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9333" w14:textId="77777777" w:rsidR="00AB1669" w:rsidRDefault="00000000">
    <w:pPr>
      <w:pStyle w:val="SmallFoot"/>
      <w:jc w:val="right"/>
      <w:rPr>
        <w:rFonts w:hint="eastAsia"/>
      </w:rPr>
    </w:pPr>
    <w:r>
      <w:t>BFIN WS2026   /   INITIAL POLICY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7914AD"/>
    <w:multiLevelType w:val="hybridMultilevel"/>
    <w:tmpl w:val="4C048FAA"/>
    <w:lvl w:ilvl="0" w:tplc="F0707714">
      <w:start w:val="1"/>
      <w:numFmt w:val="decimal"/>
      <w:lvlText w:val="%1"/>
      <w:lvlJc w:val="left"/>
      <w:pPr>
        <w:ind w:left="720" w:hanging="360"/>
      </w:pPr>
      <w:rPr>
        <w:rFonts w:hint="default"/>
        <w:color w:val="1F497D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507108">
    <w:abstractNumId w:val="8"/>
  </w:num>
  <w:num w:numId="2" w16cid:durableId="1179850577">
    <w:abstractNumId w:val="6"/>
  </w:num>
  <w:num w:numId="3" w16cid:durableId="2107459363">
    <w:abstractNumId w:val="5"/>
  </w:num>
  <w:num w:numId="4" w16cid:durableId="1180655971">
    <w:abstractNumId w:val="4"/>
  </w:num>
  <w:num w:numId="5" w16cid:durableId="1542479620">
    <w:abstractNumId w:val="7"/>
  </w:num>
  <w:num w:numId="6" w16cid:durableId="903372369">
    <w:abstractNumId w:val="3"/>
  </w:num>
  <w:num w:numId="7" w16cid:durableId="417600309">
    <w:abstractNumId w:val="2"/>
  </w:num>
  <w:num w:numId="8" w16cid:durableId="965938770">
    <w:abstractNumId w:val="1"/>
  </w:num>
  <w:num w:numId="9" w16cid:durableId="1794589930">
    <w:abstractNumId w:val="0"/>
  </w:num>
  <w:num w:numId="10" w16cid:durableId="1115902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6BC"/>
    <w:rsid w:val="00326F90"/>
    <w:rsid w:val="004A026A"/>
    <w:rsid w:val="005B3F06"/>
    <w:rsid w:val="007557F3"/>
    <w:rsid w:val="00896BC4"/>
    <w:rsid w:val="00AA1D8D"/>
    <w:rsid w:val="00AB1669"/>
    <w:rsid w:val="00B47730"/>
    <w:rsid w:val="00CB0664"/>
    <w:rsid w:val="00DE6BFC"/>
    <w:rsid w:val="00E453A8"/>
    <w:rsid w:val="00EB20B7"/>
    <w:rsid w:val="00FB0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78A96"/>
  <w14:defaultImageDpi w14:val="300"/>
  <w15:docId w15:val="{FE400E34-E9B7-4F2B-BFB1-8F8809FA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2" w:lineRule="auto"/>
    </w:pPr>
    <w:rPr>
      <w:rFonts w:ascii="Liberation Sans" w:hAnsi="Liberation Sans"/>
      <w:color w:val="142A3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Title">
    <w:name w:val="MemoTitle"/>
    <w:pPr>
      <w:spacing w:after="40"/>
    </w:pPr>
    <w:rPr>
      <w:rFonts w:ascii="Liberation Sans" w:hAnsi="Liberation Sans"/>
      <w:b/>
      <w:color w:val="142A3F"/>
      <w:sz w:val="32"/>
    </w:rPr>
  </w:style>
  <w:style w:type="paragraph" w:customStyle="1" w:styleId="MemoSubtitle">
    <w:name w:val="MemoSubtitle"/>
    <w:pPr>
      <w:spacing w:after="40"/>
    </w:pPr>
    <w:rPr>
      <w:rFonts w:ascii="Liberation Sans" w:hAnsi="Liberation Sans"/>
      <w:color w:val="555F68"/>
      <w:sz w:val="18"/>
    </w:rPr>
  </w:style>
  <w:style w:type="paragraph" w:customStyle="1" w:styleId="SectionHead">
    <w:name w:val="SectionHead"/>
    <w:pPr>
      <w:spacing w:before="100" w:after="60"/>
    </w:pPr>
    <w:rPr>
      <w:rFonts w:ascii="Liberation Sans" w:hAnsi="Liberation Sans"/>
      <w:b/>
      <w:color w:val="2D5672"/>
      <w:sz w:val="21"/>
    </w:rPr>
  </w:style>
  <w:style w:type="paragraph" w:customStyle="1" w:styleId="SmallFoot">
    <w:name w:val="SmallFoot"/>
    <w:pPr>
      <w:spacing w:after="40"/>
    </w:pPr>
    <w:rPr>
      <w:rFonts w:ascii="Liberation Sans" w:hAnsi="Liberation Sans"/>
      <w:color w:val="555F68"/>
      <w:sz w:val="14"/>
    </w:rPr>
  </w:style>
  <w:style w:type="paragraph" w:styleId="NormalWeb">
    <w:name w:val="Normal (Web)"/>
    <w:basedOn w:val="Normal"/>
    <w:uiPriority w:val="99"/>
    <w:unhideWhenUsed/>
    <w:rsid w:val="00DE6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Kappa Foundation - Initial Decision Record</vt:lpstr>
    </vt:vector>
  </TitlesOfParts>
  <Manager/>
  <Company/>
  <LinksUpToDate>false</LinksUpToDate>
  <CharactersWithSpaces>5733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Kappa Foundation - Initial Decision Record</dc:title>
  <dc:subject>BFIN WS2026 initial allocation and frozen investment policy</dc:subject>
  <dc:creator>Kappa Foundation investment team</dc:creator>
  <cp:keywords/>
  <dc:description>generated by python-docx</dc:description>
  <cp:lastModifiedBy>Nguyễn Ngọc Thảo An</cp:lastModifiedBy>
  <cp:revision>2</cp:revision>
  <dcterms:created xsi:type="dcterms:W3CDTF">2013-12-23T23:15:00Z</dcterms:created>
  <dcterms:modified xsi:type="dcterms:W3CDTF">2026-10-20T15:39:00Z</dcterms:modified>
  <cp:category/>
</cp:coreProperties>
</file>