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3C5A" w14:textId="77777777" w:rsidR="00E24CCF" w:rsidRPr="00E967CD" w:rsidRDefault="00E24CCF" w:rsidP="00E24CCF">
      <w:pPr>
        <w:pStyle w:val="Title"/>
        <w:spacing w:after="140"/>
        <w:jc w:val="center"/>
        <w:rPr>
          <w:rFonts w:ascii="Times New Roman" w:hAnsi="Times New Roman" w:cs="Times New Roman"/>
          <w:b/>
          <w:bCs/>
          <w:color w:val="EE0000"/>
          <w:sz w:val="32"/>
          <w:szCs w:val="32"/>
        </w:rPr>
      </w:pPr>
      <w:r w:rsidRPr="00E967CD">
        <w:rPr>
          <w:rFonts w:ascii="Times New Roman" w:hAnsi="Times New Roman" w:cs="Times New Roman"/>
          <w:b/>
          <w:bCs/>
          <w:sz w:val="38"/>
          <w:szCs w:val="32"/>
        </w:rPr>
        <w:t>Bond Funding and Response to the Revised Mandate</w:t>
      </w:r>
    </w:p>
    <w:p w14:paraId="5EE2EB03"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sz w:val="20"/>
        </w:rPr>
        <w:t xml:space="preserve">The group’s final funding recommendation is to purchase 2,400 Beta bonds, 1,200 Gamma bonds and 2,400 Delta bonds at the original 31 December 2022 quotes. Their principal payments match the revised commitments: USD 2.4 million in December 2024, USD 1.2 million in December 2025 and USD 2.4 million in December 2027. Coupons are retained as cash earning 0% through 2030. This separates </w:t>
      </w:r>
      <w:proofErr w:type="gramStart"/>
      <w:r w:rsidRPr="00E967CD">
        <w:rPr>
          <w:rFonts w:ascii="Times New Roman" w:hAnsi="Times New Roman" w:cs="Times New Roman"/>
          <w:sz w:val="20"/>
        </w:rPr>
        <w:t>mandatory-payment</w:t>
      </w:r>
      <w:proofErr w:type="gramEnd"/>
      <w:r w:rsidRPr="00E967CD">
        <w:rPr>
          <w:rFonts w:ascii="Times New Roman" w:hAnsi="Times New Roman" w:cs="Times New Roman"/>
          <w:sz w:val="20"/>
        </w:rPr>
        <w:t xml:space="preserve"> funding from the growth allocation and avoids relying on equity sales or positive reinvestment returns.</w:t>
      </w:r>
    </w:p>
    <w:p w14:paraId="425EB346"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sz w:val="20"/>
        </w:rPr>
        <w:t xml:space="preserve">The bond purchases cost </w:t>
      </w:r>
      <w:r w:rsidRPr="00E967CD">
        <w:rPr>
          <w:rFonts w:ascii="Times New Roman" w:hAnsi="Times New Roman" w:cs="Times New Roman"/>
          <w:b/>
          <w:bCs/>
          <w:sz w:val="20"/>
        </w:rPr>
        <w:t>USD 5,784,228</w:t>
      </w:r>
      <w:r w:rsidRPr="00E967CD">
        <w:rPr>
          <w:rFonts w:ascii="Times New Roman" w:hAnsi="Times New Roman" w:cs="Times New Roman"/>
          <w:sz w:val="20"/>
        </w:rPr>
        <w:t xml:space="preserve">, leaving USD 6,215,772 for the growth allocation, including entry costs. After the 10 bp equity entry fee, net equity purchases are USD 6,209,562.44. Together with the USD 6,209.56 entry fee and zero initial cash buffer, the allocation reconciles to USD 12 million. Gamma contributes USD 48,000 annually in 2023–2025, while Delta contributes USD 84,000 annually in 2023–2027. All three obligations are covered by principal on their payment dates, leaving </w:t>
      </w:r>
      <w:r w:rsidRPr="00E967CD">
        <w:rPr>
          <w:rFonts w:ascii="Times New Roman" w:hAnsi="Times New Roman" w:cs="Times New Roman"/>
          <w:b/>
          <w:bCs/>
          <w:sz w:val="20"/>
        </w:rPr>
        <w:t>USD 564,000</w:t>
      </w:r>
      <w:r w:rsidRPr="00E967CD">
        <w:rPr>
          <w:rFonts w:ascii="Times New Roman" w:hAnsi="Times New Roman" w:cs="Times New Roman"/>
          <w:sz w:val="20"/>
        </w:rPr>
        <w:t xml:space="preserve"> of accumulated coupon cash at the end of 2030.</w:t>
      </w:r>
    </w:p>
    <w:p w14:paraId="46106576"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sz w:val="20"/>
        </w:rPr>
        <w:t xml:space="preserve">The revised mandate brings USD 1.2 million of spending forward from 2027 to 2025. Holding the original principal-matching and coupon-retention conventions constant, this increases initial bond cost by </w:t>
      </w:r>
      <w:r w:rsidRPr="00E967CD">
        <w:rPr>
          <w:rFonts w:ascii="Times New Roman" w:hAnsi="Times New Roman" w:cs="Times New Roman"/>
          <w:b/>
          <w:bCs/>
          <w:sz w:val="20"/>
        </w:rPr>
        <w:t>USD 19,704</w:t>
      </w:r>
      <w:r w:rsidRPr="00E967CD">
        <w:rPr>
          <w:rFonts w:ascii="Times New Roman" w:hAnsi="Times New Roman" w:cs="Times New Roman"/>
          <w:sz w:val="20"/>
        </w:rPr>
        <w:t xml:space="preserve">, reduces the gross growth budget by the same amount and reduces retained coupon cash by </w:t>
      </w:r>
      <w:r w:rsidRPr="00E967CD">
        <w:rPr>
          <w:rFonts w:ascii="Times New Roman" w:hAnsi="Times New Roman" w:cs="Times New Roman"/>
          <w:b/>
          <w:bCs/>
          <w:sz w:val="20"/>
        </w:rPr>
        <w:t>USD 66,000</w:t>
      </w:r>
      <w:r w:rsidRPr="00E967CD">
        <w:rPr>
          <w:rFonts w:ascii="Times New Roman" w:hAnsi="Times New Roman" w:cs="Times New Roman"/>
          <w:sz w:val="20"/>
        </w:rPr>
        <w:t>. The decision date, bond quotes, information cutoff and historical evaluation period remain unchanged.</w:t>
      </w:r>
    </w:p>
    <w:p w14:paraId="7E114252"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b/>
          <w:bCs/>
          <w:sz w:val="20"/>
        </w:rPr>
        <w:t>Table: Funding allocation and consequences under both mandates</w:t>
      </w:r>
    </w:p>
    <w:tbl>
      <w:tblPr>
        <w:tblStyle w:val="GridTable2-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4"/>
        <w:gridCol w:w="2088"/>
        <w:gridCol w:w="2088"/>
        <w:gridCol w:w="2376"/>
      </w:tblGrid>
      <w:tr w:rsidR="00E24CCF" w:rsidRPr="00E967CD" w14:paraId="5F3815E7" w14:textId="77777777" w:rsidTr="00E24C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772A378D" w14:textId="77777777" w:rsidR="00E24CCF" w:rsidRPr="00E967CD" w:rsidRDefault="00E24CCF" w:rsidP="00E24CCF">
            <w:pPr>
              <w:spacing w:before="60" w:after="60" w:line="278" w:lineRule="auto"/>
              <w:jc w:val="center"/>
              <w:rPr>
                <w:rFonts w:ascii="Times New Roman" w:hAnsi="Times New Roman" w:cs="Times New Roman"/>
              </w:rPr>
            </w:pPr>
            <w:r w:rsidRPr="00E967CD">
              <w:rPr>
                <w:rFonts w:ascii="Times New Roman" w:hAnsi="Times New Roman" w:cs="Times New Roman"/>
                <w:sz w:val="18"/>
              </w:rPr>
              <w:t>Measure</w:t>
            </w:r>
          </w:p>
        </w:tc>
        <w:tc>
          <w:tcPr>
            <w:tcW w:w="2088" w:type="dxa"/>
            <w:tcBorders>
              <w:top w:val="single" w:sz="4" w:space="0" w:color="D9D9D9"/>
              <w:left w:val="single" w:sz="4" w:space="0" w:color="D9D9D9"/>
              <w:bottom w:val="single" w:sz="4" w:space="0" w:color="D9D9D9"/>
              <w:right w:val="single" w:sz="4" w:space="0" w:color="D9D9D9"/>
            </w:tcBorders>
            <w:hideMark/>
          </w:tcPr>
          <w:p w14:paraId="29A20E7D" w14:textId="77777777" w:rsidR="00E24CCF" w:rsidRPr="00E967CD" w:rsidRDefault="00E24CCF" w:rsidP="00E24CCF">
            <w:pPr>
              <w:spacing w:before="60" w:after="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Original plan, 22 October</w:t>
            </w:r>
          </w:p>
        </w:tc>
        <w:tc>
          <w:tcPr>
            <w:tcW w:w="2088" w:type="dxa"/>
            <w:tcBorders>
              <w:top w:val="single" w:sz="4" w:space="0" w:color="D9D9D9"/>
              <w:left w:val="single" w:sz="4" w:space="0" w:color="D9D9D9"/>
              <w:bottom w:val="single" w:sz="4" w:space="0" w:color="D9D9D9"/>
              <w:right w:val="single" w:sz="4" w:space="0" w:color="D9D9D9"/>
            </w:tcBorders>
            <w:hideMark/>
          </w:tcPr>
          <w:p w14:paraId="4912AB66" w14:textId="77777777" w:rsidR="00E24CCF" w:rsidRPr="00E967CD" w:rsidRDefault="00E24CCF" w:rsidP="00E24CCF">
            <w:pPr>
              <w:spacing w:before="60" w:after="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Revised principal matching</w:t>
            </w:r>
          </w:p>
        </w:tc>
        <w:tc>
          <w:tcPr>
            <w:tcW w:w="2376" w:type="dxa"/>
            <w:tcBorders>
              <w:top w:val="single" w:sz="4" w:space="0" w:color="D9D9D9"/>
              <w:left w:val="single" w:sz="4" w:space="0" w:color="D9D9D9"/>
              <w:bottom w:val="single" w:sz="4" w:space="0" w:color="D9D9D9"/>
              <w:right w:val="single" w:sz="4" w:space="0" w:color="D9D9D9"/>
            </w:tcBorders>
            <w:hideMark/>
          </w:tcPr>
          <w:p w14:paraId="6C4647A9" w14:textId="77777777" w:rsidR="00E24CCF" w:rsidRPr="00E967CD" w:rsidRDefault="00E24CCF" w:rsidP="00E24CCF">
            <w:pPr>
              <w:spacing w:before="60" w:after="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Revised coupon funding</w:t>
            </w:r>
          </w:p>
        </w:tc>
      </w:tr>
      <w:tr w:rsidR="00E24CCF" w:rsidRPr="00E967CD" w14:paraId="18112AE0" w14:textId="77777777" w:rsidTr="00E24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05AD3456"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Beta units</w:t>
            </w:r>
          </w:p>
        </w:tc>
        <w:tc>
          <w:tcPr>
            <w:tcW w:w="2088" w:type="dxa"/>
            <w:tcBorders>
              <w:top w:val="single" w:sz="4" w:space="0" w:color="D9D9D9"/>
              <w:left w:val="single" w:sz="4" w:space="0" w:color="D9D9D9"/>
              <w:bottom w:val="single" w:sz="4" w:space="0" w:color="D9D9D9"/>
              <w:right w:val="single" w:sz="4" w:space="0" w:color="D9D9D9"/>
            </w:tcBorders>
            <w:hideMark/>
          </w:tcPr>
          <w:p w14:paraId="60BD6C8E"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2,400</w:t>
            </w:r>
          </w:p>
        </w:tc>
        <w:tc>
          <w:tcPr>
            <w:tcW w:w="2088" w:type="dxa"/>
            <w:tcBorders>
              <w:top w:val="single" w:sz="4" w:space="0" w:color="D9D9D9"/>
              <w:left w:val="single" w:sz="4" w:space="0" w:color="D9D9D9"/>
              <w:bottom w:val="single" w:sz="4" w:space="0" w:color="D9D9D9"/>
              <w:right w:val="single" w:sz="4" w:space="0" w:color="D9D9D9"/>
            </w:tcBorders>
            <w:hideMark/>
          </w:tcPr>
          <w:p w14:paraId="5DFA6EF5"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2,400</w:t>
            </w:r>
          </w:p>
        </w:tc>
        <w:tc>
          <w:tcPr>
            <w:tcW w:w="2376" w:type="dxa"/>
            <w:tcBorders>
              <w:top w:val="single" w:sz="4" w:space="0" w:color="D9D9D9"/>
              <w:left w:val="single" w:sz="4" w:space="0" w:color="D9D9D9"/>
              <w:bottom w:val="single" w:sz="4" w:space="0" w:color="D9D9D9"/>
              <w:right w:val="single" w:sz="4" w:space="0" w:color="D9D9D9"/>
            </w:tcBorders>
            <w:hideMark/>
          </w:tcPr>
          <w:p w14:paraId="6B7F9201"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2,400</w:t>
            </w:r>
          </w:p>
        </w:tc>
      </w:tr>
      <w:tr w:rsidR="00E24CCF" w:rsidRPr="00E967CD" w14:paraId="20C361BA" w14:textId="77777777" w:rsidTr="00E24CCF">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65A68640"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Gamma units</w:t>
            </w:r>
          </w:p>
        </w:tc>
        <w:tc>
          <w:tcPr>
            <w:tcW w:w="2088" w:type="dxa"/>
            <w:tcBorders>
              <w:top w:val="single" w:sz="4" w:space="0" w:color="D9D9D9"/>
              <w:left w:val="single" w:sz="4" w:space="0" w:color="D9D9D9"/>
              <w:bottom w:val="single" w:sz="4" w:space="0" w:color="D9D9D9"/>
              <w:right w:val="single" w:sz="4" w:space="0" w:color="D9D9D9"/>
            </w:tcBorders>
            <w:hideMark/>
          </w:tcPr>
          <w:p w14:paraId="40792BE7"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0</w:t>
            </w:r>
          </w:p>
        </w:tc>
        <w:tc>
          <w:tcPr>
            <w:tcW w:w="2088" w:type="dxa"/>
            <w:tcBorders>
              <w:top w:val="single" w:sz="4" w:space="0" w:color="D9D9D9"/>
              <w:left w:val="single" w:sz="4" w:space="0" w:color="D9D9D9"/>
              <w:bottom w:val="single" w:sz="4" w:space="0" w:color="D9D9D9"/>
              <w:right w:val="single" w:sz="4" w:space="0" w:color="D9D9D9"/>
            </w:tcBorders>
            <w:hideMark/>
          </w:tcPr>
          <w:p w14:paraId="039610EB"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1,200</w:t>
            </w:r>
          </w:p>
        </w:tc>
        <w:tc>
          <w:tcPr>
            <w:tcW w:w="2376" w:type="dxa"/>
            <w:tcBorders>
              <w:top w:val="single" w:sz="4" w:space="0" w:color="D9D9D9"/>
              <w:left w:val="single" w:sz="4" w:space="0" w:color="D9D9D9"/>
              <w:bottom w:val="single" w:sz="4" w:space="0" w:color="D9D9D9"/>
              <w:right w:val="single" w:sz="4" w:space="0" w:color="D9D9D9"/>
            </w:tcBorders>
            <w:hideMark/>
          </w:tcPr>
          <w:p w14:paraId="2F13AC3D"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846.428571</w:t>
            </w:r>
          </w:p>
        </w:tc>
      </w:tr>
      <w:tr w:rsidR="00E24CCF" w:rsidRPr="00E967CD" w14:paraId="0DF1B19E" w14:textId="77777777" w:rsidTr="00E24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0288CD94"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Delta units</w:t>
            </w:r>
          </w:p>
        </w:tc>
        <w:tc>
          <w:tcPr>
            <w:tcW w:w="2088" w:type="dxa"/>
            <w:tcBorders>
              <w:top w:val="single" w:sz="4" w:space="0" w:color="D9D9D9"/>
              <w:left w:val="single" w:sz="4" w:space="0" w:color="D9D9D9"/>
              <w:bottom w:val="single" w:sz="4" w:space="0" w:color="D9D9D9"/>
              <w:right w:val="single" w:sz="4" w:space="0" w:color="D9D9D9"/>
            </w:tcBorders>
            <w:hideMark/>
          </w:tcPr>
          <w:p w14:paraId="5543524C"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3,600</w:t>
            </w:r>
          </w:p>
        </w:tc>
        <w:tc>
          <w:tcPr>
            <w:tcW w:w="2088" w:type="dxa"/>
            <w:tcBorders>
              <w:top w:val="single" w:sz="4" w:space="0" w:color="D9D9D9"/>
              <w:left w:val="single" w:sz="4" w:space="0" w:color="D9D9D9"/>
              <w:bottom w:val="single" w:sz="4" w:space="0" w:color="D9D9D9"/>
              <w:right w:val="single" w:sz="4" w:space="0" w:color="D9D9D9"/>
            </w:tcBorders>
            <w:hideMark/>
          </w:tcPr>
          <w:p w14:paraId="12B91BE9"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2,400</w:t>
            </w:r>
          </w:p>
        </w:tc>
        <w:tc>
          <w:tcPr>
            <w:tcW w:w="2376" w:type="dxa"/>
            <w:tcBorders>
              <w:top w:val="single" w:sz="4" w:space="0" w:color="D9D9D9"/>
              <w:left w:val="single" w:sz="4" w:space="0" w:color="D9D9D9"/>
              <w:bottom w:val="single" w:sz="4" w:space="0" w:color="D9D9D9"/>
              <w:right w:val="single" w:sz="4" w:space="0" w:color="D9D9D9"/>
            </w:tcBorders>
            <w:hideMark/>
          </w:tcPr>
          <w:p w14:paraId="62706C25"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2,400</w:t>
            </w:r>
          </w:p>
        </w:tc>
      </w:tr>
      <w:tr w:rsidR="00E24CCF" w:rsidRPr="00E967CD" w14:paraId="46841E57" w14:textId="77777777" w:rsidTr="00E24CCF">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0C37BCA3"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Initial bond cost (USD)</w:t>
            </w:r>
          </w:p>
        </w:tc>
        <w:tc>
          <w:tcPr>
            <w:tcW w:w="2088" w:type="dxa"/>
            <w:tcBorders>
              <w:top w:val="single" w:sz="4" w:space="0" w:color="D9D9D9"/>
              <w:left w:val="single" w:sz="4" w:space="0" w:color="D9D9D9"/>
              <w:bottom w:val="single" w:sz="4" w:space="0" w:color="D9D9D9"/>
              <w:right w:val="single" w:sz="4" w:space="0" w:color="D9D9D9"/>
            </w:tcBorders>
            <w:hideMark/>
          </w:tcPr>
          <w:p w14:paraId="514C8292"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5,764,524.00</w:t>
            </w:r>
          </w:p>
        </w:tc>
        <w:tc>
          <w:tcPr>
            <w:tcW w:w="2088" w:type="dxa"/>
            <w:tcBorders>
              <w:top w:val="single" w:sz="4" w:space="0" w:color="D9D9D9"/>
              <w:left w:val="single" w:sz="4" w:space="0" w:color="D9D9D9"/>
              <w:bottom w:val="single" w:sz="4" w:space="0" w:color="D9D9D9"/>
              <w:right w:val="single" w:sz="4" w:space="0" w:color="D9D9D9"/>
            </w:tcBorders>
            <w:hideMark/>
          </w:tcPr>
          <w:p w14:paraId="7F39EE35"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5,784,228.00</w:t>
            </w:r>
          </w:p>
        </w:tc>
        <w:tc>
          <w:tcPr>
            <w:tcW w:w="2376" w:type="dxa"/>
            <w:tcBorders>
              <w:top w:val="single" w:sz="4" w:space="0" w:color="D9D9D9"/>
              <w:left w:val="single" w:sz="4" w:space="0" w:color="D9D9D9"/>
              <w:bottom w:val="single" w:sz="4" w:space="0" w:color="D9D9D9"/>
              <w:right w:val="single" w:sz="4" w:space="0" w:color="D9D9D9"/>
            </w:tcBorders>
            <w:hideMark/>
          </w:tcPr>
          <w:p w14:paraId="6C7458EB"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5,429,776.18</w:t>
            </w:r>
          </w:p>
        </w:tc>
      </w:tr>
      <w:tr w:rsidR="00E24CCF" w:rsidRPr="00E967CD" w14:paraId="5C56AEFB" w14:textId="77777777" w:rsidTr="00E24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558CC9E5"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Growth budget including entry fee (USD)</w:t>
            </w:r>
          </w:p>
        </w:tc>
        <w:tc>
          <w:tcPr>
            <w:tcW w:w="2088" w:type="dxa"/>
            <w:tcBorders>
              <w:top w:val="single" w:sz="4" w:space="0" w:color="D9D9D9"/>
              <w:left w:val="single" w:sz="4" w:space="0" w:color="D9D9D9"/>
              <w:bottom w:val="single" w:sz="4" w:space="0" w:color="D9D9D9"/>
              <w:right w:val="single" w:sz="4" w:space="0" w:color="D9D9D9"/>
            </w:tcBorders>
            <w:hideMark/>
          </w:tcPr>
          <w:p w14:paraId="152A2B50"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6,235,476.00</w:t>
            </w:r>
          </w:p>
        </w:tc>
        <w:tc>
          <w:tcPr>
            <w:tcW w:w="2088" w:type="dxa"/>
            <w:tcBorders>
              <w:top w:val="single" w:sz="4" w:space="0" w:color="D9D9D9"/>
              <w:left w:val="single" w:sz="4" w:space="0" w:color="D9D9D9"/>
              <w:bottom w:val="single" w:sz="4" w:space="0" w:color="D9D9D9"/>
              <w:right w:val="single" w:sz="4" w:space="0" w:color="D9D9D9"/>
            </w:tcBorders>
            <w:hideMark/>
          </w:tcPr>
          <w:p w14:paraId="0DCC5CBB"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6,215,772.00</w:t>
            </w:r>
          </w:p>
        </w:tc>
        <w:tc>
          <w:tcPr>
            <w:tcW w:w="2376" w:type="dxa"/>
            <w:tcBorders>
              <w:top w:val="single" w:sz="4" w:space="0" w:color="D9D9D9"/>
              <w:left w:val="single" w:sz="4" w:space="0" w:color="D9D9D9"/>
              <w:bottom w:val="single" w:sz="4" w:space="0" w:color="D9D9D9"/>
              <w:right w:val="single" w:sz="4" w:space="0" w:color="D9D9D9"/>
            </w:tcBorders>
            <w:hideMark/>
          </w:tcPr>
          <w:p w14:paraId="740E1C0A"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6,570,223.82</w:t>
            </w:r>
          </w:p>
        </w:tc>
      </w:tr>
      <w:tr w:rsidR="00E24CCF" w:rsidRPr="00E967CD" w14:paraId="08A603B7" w14:textId="77777777" w:rsidTr="00E24CCF">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0483BD10"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Net equity purchases (USD)</w:t>
            </w:r>
          </w:p>
        </w:tc>
        <w:tc>
          <w:tcPr>
            <w:tcW w:w="2088" w:type="dxa"/>
            <w:tcBorders>
              <w:top w:val="single" w:sz="4" w:space="0" w:color="D9D9D9"/>
              <w:left w:val="single" w:sz="4" w:space="0" w:color="D9D9D9"/>
              <w:bottom w:val="single" w:sz="4" w:space="0" w:color="D9D9D9"/>
              <w:right w:val="single" w:sz="4" w:space="0" w:color="D9D9D9"/>
            </w:tcBorders>
            <w:hideMark/>
          </w:tcPr>
          <w:p w14:paraId="4CF8B52D"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6,229,246.75</w:t>
            </w:r>
          </w:p>
        </w:tc>
        <w:tc>
          <w:tcPr>
            <w:tcW w:w="2088" w:type="dxa"/>
            <w:tcBorders>
              <w:top w:val="single" w:sz="4" w:space="0" w:color="D9D9D9"/>
              <w:left w:val="single" w:sz="4" w:space="0" w:color="D9D9D9"/>
              <w:bottom w:val="single" w:sz="4" w:space="0" w:color="D9D9D9"/>
              <w:right w:val="single" w:sz="4" w:space="0" w:color="D9D9D9"/>
            </w:tcBorders>
            <w:hideMark/>
          </w:tcPr>
          <w:p w14:paraId="7C4B592F"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6,209,562.44</w:t>
            </w:r>
          </w:p>
        </w:tc>
        <w:tc>
          <w:tcPr>
            <w:tcW w:w="2376" w:type="dxa"/>
            <w:tcBorders>
              <w:top w:val="single" w:sz="4" w:space="0" w:color="D9D9D9"/>
              <w:left w:val="single" w:sz="4" w:space="0" w:color="D9D9D9"/>
              <w:bottom w:val="single" w:sz="4" w:space="0" w:color="D9D9D9"/>
              <w:right w:val="single" w:sz="4" w:space="0" w:color="D9D9D9"/>
            </w:tcBorders>
            <w:hideMark/>
          </w:tcPr>
          <w:p w14:paraId="71A9581B"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6,563,660.16</w:t>
            </w:r>
          </w:p>
        </w:tc>
      </w:tr>
      <w:tr w:rsidR="00E24CCF" w:rsidRPr="00E967CD" w14:paraId="2C11AB87" w14:textId="77777777" w:rsidTr="00E24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63E9395A"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Retained cash at end-2030 (USD)</w:t>
            </w:r>
          </w:p>
        </w:tc>
        <w:tc>
          <w:tcPr>
            <w:tcW w:w="2088" w:type="dxa"/>
            <w:tcBorders>
              <w:top w:val="single" w:sz="4" w:space="0" w:color="D9D9D9"/>
              <w:left w:val="single" w:sz="4" w:space="0" w:color="D9D9D9"/>
              <w:bottom w:val="single" w:sz="4" w:space="0" w:color="D9D9D9"/>
              <w:right w:val="single" w:sz="4" w:space="0" w:color="D9D9D9"/>
            </w:tcBorders>
            <w:hideMark/>
          </w:tcPr>
          <w:p w14:paraId="054A228B"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630,000.00</w:t>
            </w:r>
          </w:p>
        </w:tc>
        <w:tc>
          <w:tcPr>
            <w:tcW w:w="2088" w:type="dxa"/>
            <w:tcBorders>
              <w:top w:val="single" w:sz="4" w:space="0" w:color="D9D9D9"/>
              <w:left w:val="single" w:sz="4" w:space="0" w:color="D9D9D9"/>
              <w:bottom w:val="single" w:sz="4" w:space="0" w:color="D9D9D9"/>
              <w:right w:val="single" w:sz="4" w:space="0" w:color="D9D9D9"/>
            </w:tcBorders>
            <w:hideMark/>
          </w:tcPr>
          <w:p w14:paraId="081BD0BE"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564,000.00</w:t>
            </w:r>
          </w:p>
        </w:tc>
        <w:tc>
          <w:tcPr>
            <w:tcW w:w="2376" w:type="dxa"/>
            <w:tcBorders>
              <w:top w:val="single" w:sz="4" w:space="0" w:color="D9D9D9"/>
              <w:left w:val="single" w:sz="4" w:space="0" w:color="D9D9D9"/>
              <w:bottom w:val="single" w:sz="4" w:space="0" w:color="D9D9D9"/>
              <w:right w:val="single" w:sz="4" w:space="0" w:color="D9D9D9"/>
            </w:tcBorders>
            <w:hideMark/>
          </w:tcPr>
          <w:p w14:paraId="2E23BCE0" w14:textId="77777777" w:rsidR="00E24CCF" w:rsidRPr="00E967CD" w:rsidRDefault="00E24CCF" w:rsidP="00E24CCF">
            <w:pPr>
              <w:spacing w:before="60" w:after="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168,000.00</w:t>
            </w:r>
          </w:p>
        </w:tc>
      </w:tr>
      <w:tr w:rsidR="00E24CCF" w:rsidRPr="00E967CD" w14:paraId="0C603185" w14:textId="77777777" w:rsidTr="00E24CCF">
        <w:tc>
          <w:tcPr>
            <w:cnfStyle w:val="001000000000" w:firstRow="0" w:lastRow="0" w:firstColumn="1" w:lastColumn="0" w:oddVBand="0" w:evenVBand="0" w:oddHBand="0" w:evenHBand="0" w:firstRowFirstColumn="0" w:firstRowLastColumn="0" w:lastRowFirstColumn="0" w:lastRowLastColumn="0"/>
            <w:tcW w:w="3384" w:type="dxa"/>
            <w:tcBorders>
              <w:top w:val="single" w:sz="4" w:space="0" w:color="D9D9D9"/>
              <w:left w:val="single" w:sz="4" w:space="0" w:color="D9D9D9"/>
              <w:bottom w:val="single" w:sz="4" w:space="0" w:color="D9D9D9"/>
              <w:right w:val="single" w:sz="4" w:space="0" w:color="D9D9D9"/>
            </w:tcBorders>
            <w:hideMark/>
          </w:tcPr>
          <w:p w14:paraId="3CEE1ED4" w14:textId="77777777" w:rsidR="00E24CCF" w:rsidRPr="00E967CD" w:rsidRDefault="00E24CCF" w:rsidP="00E24CCF">
            <w:pPr>
              <w:spacing w:before="60" w:after="60" w:line="278" w:lineRule="auto"/>
              <w:rPr>
                <w:rFonts w:ascii="Times New Roman" w:hAnsi="Times New Roman" w:cs="Times New Roman"/>
              </w:rPr>
            </w:pPr>
            <w:r w:rsidRPr="00E967CD">
              <w:rPr>
                <w:rFonts w:ascii="Times New Roman" w:hAnsi="Times New Roman" w:cs="Times New Roman"/>
                <w:b w:val="0"/>
                <w:sz w:val="18"/>
              </w:rPr>
              <w:t>Required eight-year equity CAGR</w:t>
            </w:r>
          </w:p>
        </w:tc>
        <w:tc>
          <w:tcPr>
            <w:tcW w:w="2088" w:type="dxa"/>
            <w:tcBorders>
              <w:top w:val="single" w:sz="4" w:space="0" w:color="D9D9D9"/>
              <w:left w:val="single" w:sz="4" w:space="0" w:color="D9D9D9"/>
              <w:bottom w:val="single" w:sz="4" w:space="0" w:color="D9D9D9"/>
              <w:right w:val="single" w:sz="4" w:space="0" w:color="D9D9D9"/>
            </w:tcBorders>
            <w:hideMark/>
          </w:tcPr>
          <w:p w14:paraId="16217B1E"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4.6577%</w:t>
            </w:r>
          </w:p>
        </w:tc>
        <w:tc>
          <w:tcPr>
            <w:tcW w:w="2088" w:type="dxa"/>
            <w:tcBorders>
              <w:top w:val="single" w:sz="4" w:space="0" w:color="D9D9D9"/>
              <w:left w:val="single" w:sz="4" w:space="0" w:color="D9D9D9"/>
              <w:bottom w:val="single" w:sz="4" w:space="0" w:color="D9D9D9"/>
              <w:right w:val="single" w:sz="4" w:space="0" w:color="D9D9D9"/>
            </w:tcBorders>
            <w:hideMark/>
          </w:tcPr>
          <w:p w14:paraId="1D7CE80C"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4.7951%</w:t>
            </w:r>
          </w:p>
        </w:tc>
        <w:tc>
          <w:tcPr>
            <w:tcW w:w="2376" w:type="dxa"/>
            <w:tcBorders>
              <w:top w:val="single" w:sz="4" w:space="0" w:color="D9D9D9"/>
              <w:left w:val="single" w:sz="4" w:space="0" w:color="D9D9D9"/>
              <w:bottom w:val="single" w:sz="4" w:space="0" w:color="D9D9D9"/>
              <w:right w:val="single" w:sz="4" w:space="0" w:color="D9D9D9"/>
            </w:tcBorders>
            <w:hideMark/>
          </w:tcPr>
          <w:p w14:paraId="5BDEC609" w14:textId="77777777" w:rsidR="00E24CCF" w:rsidRPr="00E967CD" w:rsidRDefault="00E24CCF" w:rsidP="00E24CCF">
            <w:pPr>
              <w:spacing w:before="60" w:after="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67CD">
              <w:rPr>
                <w:rFonts w:ascii="Times New Roman" w:hAnsi="Times New Roman" w:cs="Times New Roman"/>
                <w:sz w:val="18"/>
              </w:rPr>
              <w:t>4.6309%</w:t>
            </w:r>
          </w:p>
        </w:tc>
      </w:tr>
    </w:tbl>
    <w:p w14:paraId="61588485"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i/>
          <w:iCs/>
          <w:sz w:val="20"/>
        </w:rPr>
        <w:t>Notes: Cash earns 0%. The required CAGR assumes 2.3% annual inflation, a 2030 nominal target of USD 9,596,106.44 and equities measured after entry costs. It is a funding hurdle, not a forecast or guarantee.</w:t>
      </w:r>
    </w:p>
    <w:p w14:paraId="1BE0CDEA"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i/>
          <w:iCs/>
          <w:sz w:val="20"/>
        </w:rPr>
        <w:t xml:space="preserve">Sources: </w:t>
      </w:r>
      <w:proofErr w:type="spellStart"/>
      <w:r w:rsidRPr="00E967CD">
        <w:rPr>
          <w:rFonts w:ascii="Times New Roman" w:hAnsi="Times New Roman" w:cs="Times New Roman"/>
          <w:i/>
          <w:iCs/>
          <w:sz w:val="20"/>
        </w:rPr>
        <w:t>bond_funding</w:t>
      </w:r>
      <w:proofErr w:type="spellEnd"/>
      <w:r w:rsidRPr="00E967CD">
        <w:rPr>
          <w:rFonts w:ascii="Times New Roman" w:hAnsi="Times New Roman" w:cs="Times New Roman"/>
          <w:i/>
          <w:iCs/>
          <w:sz w:val="20"/>
        </w:rPr>
        <w:t>/outputs/revised/original_vs_revised_mandate.csv, revised_holdings.csv, principal_matching_ledger.csv and revised_funding_summary.csv in the same directory.</w:t>
      </w:r>
    </w:p>
    <w:p w14:paraId="1A485D8E"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sz w:val="20"/>
        </w:rPr>
        <w:t xml:space="preserve">Coupon funding is a feasible alternative. It uses Gamma principal and </w:t>
      </w:r>
      <w:proofErr w:type="gramStart"/>
      <w:r w:rsidRPr="00E967CD">
        <w:rPr>
          <w:rFonts w:ascii="Times New Roman" w:hAnsi="Times New Roman" w:cs="Times New Roman"/>
          <w:sz w:val="20"/>
        </w:rPr>
        <w:t>accumulated</w:t>
      </w:r>
      <w:proofErr w:type="gramEnd"/>
      <w:r w:rsidRPr="00E967CD">
        <w:rPr>
          <w:rFonts w:ascii="Times New Roman" w:hAnsi="Times New Roman" w:cs="Times New Roman"/>
          <w:sz w:val="20"/>
        </w:rPr>
        <w:t xml:space="preserve"> Gamma and Delta coupons to meet the 2025 payment, allowing fewer Gamma bonds to be purchased. It releases USD 354,451.82 more initial growth capital before fees but leaves USD 396,000 less terminal cash than revised principal matching. Its required equity CAGR is lower, at 4.6309%. The group selects principal matching for its final recommendation because it provides principal receipts on each payment date and a larger retained cash reserve, while accepting the higher growth hurdle. This preference does not establish superior terminal wealth; the additional equity exposure under coupon funding must also be assessed in the integrated portfolio comparison.</w:t>
      </w:r>
    </w:p>
    <w:p w14:paraId="6539D85E"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sz w:val="20"/>
        </w:rPr>
        <w:t xml:space="preserve">Interest-rate scenarios distinguish </w:t>
      </w:r>
      <w:proofErr w:type="gramStart"/>
      <w:r w:rsidRPr="00E967CD">
        <w:rPr>
          <w:rFonts w:ascii="Times New Roman" w:hAnsi="Times New Roman" w:cs="Times New Roman"/>
          <w:sz w:val="20"/>
        </w:rPr>
        <w:t>market-value</w:t>
      </w:r>
      <w:proofErr w:type="gramEnd"/>
      <w:r w:rsidRPr="00E967CD">
        <w:rPr>
          <w:rFonts w:ascii="Times New Roman" w:hAnsi="Times New Roman" w:cs="Times New Roman"/>
          <w:sz w:val="20"/>
        </w:rPr>
        <w:t xml:space="preserve"> risk from contractual payment coverage. A parallel </w:t>
      </w:r>
      <w:r w:rsidRPr="00E967CD">
        <w:rPr>
          <w:rFonts w:ascii="Times New Roman" w:hAnsi="Times New Roman" w:cs="Times New Roman"/>
          <w:b/>
          <w:bCs/>
          <w:sz w:val="20"/>
        </w:rPr>
        <w:t>+100 bp</w:t>
      </w:r>
      <w:r w:rsidRPr="00E967CD">
        <w:rPr>
          <w:rFonts w:ascii="Times New Roman" w:hAnsi="Times New Roman" w:cs="Times New Roman"/>
          <w:sz w:val="20"/>
        </w:rPr>
        <w:t xml:space="preserve"> yield shift reduces the recommended bond sleeve’s value by approximately </w:t>
      </w:r>
      <w:r w:rsidRPr="00E967CD">
        <w:rPr>
          <w:rFonts w:ascii="Times New Roman" w:hAnsi="Times New Roman" w:cs="Times New Roman"/>
          <w:b/>
          <w:bCs/>
          <w:sz w:val="20"/>
        </w:rPr>
        <w:t>USD 178,263.66, or 3.0819%</w:t>
      </w:r>
      <w:r w:rsidRPr="00E967CD">
        <w:rPr>
          <w:rFonts w:ascii="Times New Roman" w:hAnsi="Times New Roman" w:cs="Times New Roman"/>
          <w:sz w:val="20"/>
        </w:rPr>
        <w:t>. A −100 bp shift increases it by USD 186,774.00, or 3.2290%. A maturity-based YTM twist - Beta +50 bp, Gamma +16.6667 bp and Delta −50 bp - increases its value by USD 27,321.51. Gamma’s shock is linearly interpolated between the two maturity points. These are illustrative scenarios, with duration-and-convexity estimates checked against exact repricing, rather than observed returns or forecasts.</w:t>
      </w:r>
    </w:p>
    <w:p w14:paraId="772E686F" w14:textId="77777777" w:rsidR="004E5965" w:rsidRPr="00E967CD" w:rsidRDefault="00000000">
      <w:pPr>
        <w:spacing w:after="140"/>
        <w:rPr>
          <w:rFonts w:ascii="Times New Roman" w:hAnsi="Times New Roman" w:cs="Times New Roman"/>
        </w:rPr>
      </w:pPr>
      <w:r w:rsidRPr="00E967CD">
        <w:rPr>
          <w:rFonts w:ascii="Times New Roman" w:hAnsi="Times New Roman" w:cs="Times New Roman"/>
          <w:sz w:val="20"/>
        </w:rPr>
        <w:t>We use ±100 bp parallel shifts as illustrative stresses to assess material rate sensitivity and the accuracy of duration-and-convexity approximations. The opposing 50 bp maturity shocks examine a change in curve shape. These magnitudes are scenario assumptions, not forecasts.</w:t>
      </w:r>
    </w:p>
    <w:p w14:paraId="4A6965CE"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sz w:val="20"/>
        </w:rPr>
        <w:lastRenderedPageBreak/>
        <w:t>Under the case’s default-free assumption, these valuation changes do not alter contractual cash flows. Holding the bonds to maturity therefore preserves payment coverage. The scenarios measure bond-sleeve risk; they do not establish a maximum loss for the entire foundation or demonstrate that the 2030 purchasing-power goal will be achieved.</w:t>
      </w:r>
    </w:p>
    <w:p w14:paraId="487376DD" w14:textId="77777777" w:rsidR="00E24CCF" w:rsidRPr="00E967CD" w:rsidRDefault="00E24CCF" w:rsidP="00E24CCF">
      <w:pPr>
        <w:spacing w:after="140"/>
        <w:rPr>
          <w:rFonts w:ascii="Times New Roman" w:hAnsi="Times New Roman" w:cs="Times New Roman"/>
        </w:rPr>
      </w:pPr>
      <w:r w:rsidRPr="00E967CD">
        <w:rPr>
          <w:rFonts w:ascii="Times New Roman" w:hAnsi="Times New Roman" w:cs="Times New Roman"/>
          <w:i/>
          <w:iCs/>
          <w:sz w:val="20"/>
        </w:rPr>
        <w:t xml:space="preserve">Rate-risk sources: </w:t>
      </w:r>
      <w:proofErr w:type="spellStart"/>
      <w:r w:rsidRPr="00E967CD">
        <w:rPr>
          <w:rFonts w:ascii="Times New Roman" w:hAnsi="Times New Roman" w:cs="Times New Roman"/>
          <w:i/>
          <w:iCs/>
          <w:sz w:val="20"/>
        </w:rPr>
        <w:t>bond_funding</w:t>
      </w:r>
      <w:proofErr w:type="spellEnd"/>
      <w:r w:rsidRPr="00E967CD">
        <w:rPr>
          <w:rFonts w:ascii="Times New Roman" w:hAnsi="Times New Roman" w:cs="Times New Roman"/>
          <w:i/>
          <w:iCs/>
          <w:sz w:val="20"/>
        </w:rPr>
        <w:t>/outputs/revised/revised_rate_scenario_detail.csv and revised_rate_scenario_summary.csv.</w:t>
      </w:r>
    </w:p>
    <w:p w14:paraId="10A3CCC3" w14:textId="77777777" w:rsidR="001278A8" w:rsidRPr="00E967CD" w:rsidRDefault="001278A8">
      <w:pPr>
        <w:spacing w:after="140"/>
        <w:rPr>
          <w:rFonts w:ascii="Times New Roman" w:hAnsi="Times New Roman" w:cs="Times New Roman"/>
        </w:rPr>
      </w:pPr>
    </w:p>
    <w:sectPr w:rsidR="001278A8" w:rsidRPr="00E967CD">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20"/>
    <w:rsid w:val="001278A8"/>
    <w:rsid w:val="00280F01"/>
    <w:rsid w:val="004E5965"/>
    <w:rsid w:val="005F1D3A"/>
    <w:rsid w:val="008B064B"/>
    <w:rsid w:val="00AB4BDC"/>
    <w:rsid w:val="00C529DD"/>
    <w:rsid w:val="00E24CCF"/>
    <w:rsid w:val="00E967CD"/>
    <w:rsid w:val="00EA3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1E11"/>
  <w15:chartTrackingRefBased/>
  <w15:docId w15:val="{293D7F17-D1FC-4978-883D-2DB9160F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rPr>
  </w:style>
  <w:style w:type="paragraph" w:styleId="Heading1">
    <w:name w:val="heading 1"/>
    <w:basedOn w:val="Normal"/>
    <w:next w:val="Normal"/>
    <w:link w:val="Heading1Char"/>
    <w:uiPriority w:val="9"/>
    <w:qFormat/>
    <w:rsid w:val="00EA3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20"/>
    <w:rPr>
      <w:rFonts w:eastAsiaTheme="majorEastAsia" w:cstheme="majorBidi"/>
      <w:color w:val="272727" w:themeColor="text1" w:themeTint="D8"/>
    </w:rPr>
  </w:style>
  <w:style w:type="paragraph" w:styleId="Title">
    <w:name w:val="Title"/>
    <w:basedOn w:val="Normal"/>
    <w:next w:val="Normal"/>
    <w:link w:val="TitleChar"/>
    <w:uiPriority w:val="10"/>
    <w:qFormat/>
    <w:rsid w:val="00EA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20"/>
    <w:pPr>
      <w:spacing w:before="160"/>
      <w:jc w:val="center"/>
    </w:pPr>
    <w:rPr>
      <w:i/>
      <w:iCs/>
      <w:color w:val="404040" w:themeColor="text1" w:themeTint="BF"/>
    </w:rPr>
  </w:style>
  <w:style w:type="character" w:customStyle="1" w:styleId="QuoteChar">
    <w:name w:val="Quote Char"/>
    <w:basedOn w:val="DefaultParagraphFont"/>
    <w:link w:val="Quote"/>
    <w:uiPriority w:val="29"/>
    <w:rsid w:val="00EA3320"/>
    <w:rPr>
      <w:i/>
      <w:iCs/>
      <w:color w:val="404040" w:themeColor="text1" w:themeTint="BF"/>
    </w:rPr>
  </w:style>
  <w:style w:type="paragraph" w:styleId="ListParagraph">
    <w:name w:val="List Paragraph"/>
    <w:basedOn w:val="Normal"/>
    <w:uiPriority w:val="34"/>
    <w:qFormat/>
    <w:rsid w:val="00EA3320"/>
    <w:pPr>
      <w:ind w:left="720"/>
      <w:contextualSpacing/>
    </w:pPr>
  </w:style>
  <w:style w:type="character" w:styleId="IntenseEmphasis">
    <w:name w:val="Intense Emphasis"/>
    <w:basedOn w:val="DefaultParagraphFont"/>
    <w:uiPriority w:val="21"/>
    <w:qFormat/>
    <w:rsid w:val="00EA3320"/>
    <w:rPr>
      <w:i/>
      <w:iCs/>
      <w:color w:val="0F4761" w:themeColor="accent1" w:themeShade="BF"/>
    </w:rPr>
  </w:style>
  <w:style w:type="paragraph" w:styleId="IntenseQuote">
    <w:name w:val="Intense Quote"/>
    <w:basedOn w:val="Normal"/>
    <w:next w:val="Normal"/>
    <w:link w:val="IntenseQuoteChar"/>
    <w:uiPriority w:val="30"/>
    <w:qFormat/>
    <w:rsid w:val="00EA3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320"/>
    <w:rPr>
      <w:i/>
      <w:iCs/>
      <w:color w:val="0F4761" w:themeColor="accent1" w:themeShade="BF"/>
    </w:rPr>
  </w:style>
  <w:style w:type="character" w:styleId="IntenseReference">
    <w:name w:val="Intense Reference"/>
    <w:basedOn w:val="DefaultParagraphFont"/>
    <w:uiPriority w:val="32"/>
    <w:qFormat/>
    <w:rsid w:val="00EA3320"/>
    <w:rPr>
      <w:b/>
      <w:bCs/>
      <w:smallCaps/>
      <w:color w:val="0F4761" w:themeColor="accent1" w:themeShade="BF"/>
      <w:spacing w:val="5"/>
    </w:rPr>
  </w:style>
  <w:style w:type="table" w:styleId="GridTable2-Accent2">
    <w:name w:val="Grid Table 2 Accent 2"/>
    <w:basedOn w:val="TableNormal"/>
    <w:uiPriority w:val="47"/>
    <w:rsid w:val="00E24CCF"/>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Thảo An</dc:creator>
  <cp:keywords/>
  <dc:description/>
  <cp:lastModifiedBy>Nguyễn Ngọc Thảo An</cp:lastModifiedBy>
  <cp:revision>4</cp:revision>
  <dcterms:created xsi:type="dcterms:W3CDTF">2026-10-24T13:55:00Z</dcterms:created>
  <dcterms:modified xsi:type="dcterms:W3CDTF">2026-10-26T15:34:00Z</dcterms:modified>
</cp:coreProperties>
</file>