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B8F"/>
          <w:sz w:val="40"/>
        </w:rPr>
        <w:t>Gestão DMA — Painel dedicado ao contrato 61/2023</w:t>
      </w:r>
    </w:p>
    <w:p>
      <w:pPr>
        <w:jc w:val="center"/>
      </w:pPr>
      <w:r>
        <w:rPr>
          <w:color w:val="555F70"/>
          <w:sz w:val="26"/>
        </w:rPr>
        <w:t>Sugestões de implementação para leitura e priorização</w:t>
      </w:r>
    </w:p>
    <w:p>
      <w:pPr>
        <w:jc w:val="center"/>
      </w:pPr>
      <w:r>
        <w:rPr>
          <w:i/>
          <w:color w:val="555F70"/>
          <w:sz w:val="20"/>
        </w:rPr>
        <w:t>Use as caixas (☐) para marcar o que vamos implementar a priori.</w:t>
      </w:r>
    </w:p>
    <w:p/>
    <w:p>
      <w:pPr>
        <w:pStyle w:val="Heading1"/>
      </w:pPr>
      <w:r>
        <w:rPr>
          <w:color w:val="1D3B8F"/>
        </w:rPr>
        <w:t>1. Contexto do contrato</w:t>
      </w:r>
    </w:p>
    <w:p>
      <w:r>
        <w:rPr>
          <w:b w:val="0"/>
        </w:rPr>
        <w:t>O contrato 61/2023 (GOINFRA) é de prestação de serviços técnicos especializados de GERENCIAMENTO no âmbito da Diretoria de Manutenção (DMA), firmado com a DYNATEST Engenharia Ltda. Não é uma obra: é a contratação da própria empresa gerenciadora.</w:t>
      </w:r>
    </w:p>
    <w:p>
      <w:r>
        <w:rPr>
          <w:b w:val="0"/>
        </w:rPr>
        <w:t>O projeto (gestaoDMA) é um frontend dedicado a este único contrato, rodando em paralelo com o gemoc-frontend e usando o mesmo backend. Tudo aqui deve ser filtrado/restrito ao 61/2023.</w:t>
      </w:r>
    </w:p>
    <w:p>
      <w:pPr>
        <w:pStyle w:val="Heading2"/>
      </w:pPr>
      <w:r>
        <w:rPr>
          <w:color w:val="1D3B8F"/>
        </w:rPr>
        <w:t>Dados-chave (já existentes no backend)</w:t>
      </w:r>
    </w:p>
    <w:p>
      <w:pPr>
        <w:pStyle w:val="ListBullet"/>
      </w:pPr>
      <w:r>
        <w:t>Valor contratado: R$ 79,15 mi | Aditivos: R$ 16,84 mi | Apostilas: R$ 9,62 mi | Total: R$ 105,6 mi</w:t>
      </w:r>
    </w:p>
    <w:p>
      <w:pPr>
        <w:pStyle w:val="ListBullet"/>
      </w:pPr>
      <w:r>
        <w:t>Vigência: 13/06/2023 → 23/05/2027 (prazo prorrogável até 60 meses)</w:t>
      </w:r>
    </w:p>
    <w:p>
      <w:pPr>
        <w:pStyle w:val="ListBullet"/>
      </w:pPr>
      <w:r>
        <w:t>Medido: R$ 65,46 mi | Saldo a medir: R$ 36,38 mi | Empenhado: R$ 43,53 mi | Faturado: R$ 48,46 mi | Dívida: R$ 11,78 mi</w:t>
      </w:r>
    </w:p>
    <w:p>
      <w:pPr>
        <w:pStyle w:val="ListBullet"/>
      </w:pPr>
      <w:r>
        <w:t>36 medições registradas (PI + reajustes RD/RP) até a 36ª (jun/2026)</w:t>
      </w:r>
    </w:p>
    <w:p>
      <w:pPr>
        <w:pStyle w:val="ListBullet"/>
      </w:pPr>
      <w:r>
        <w:t>17 gestores/fiscais registrados | Processo SEI 1706/2023</w:t>
      </w:r>
    </w:p>
    <w:p>
      <w:pPr>
        <w:pStyle w:val="Heading2"/>
      </w:pPr>
      <w:r>
        <w:rPr>
          <w:color w:val="1D3B8F"/>
        </w:rPr>
        <w:t>Estrutura contratual (definida no contrato)</w:t>
      </w:r>
    </w:p>
    <w:p>
      <w:pPr>
        <w:pStyle w:val="ListBullet"/>
      </w:pPr>
      <w:r>
        <w:t>10 Produtos: 8 mensais (48 meses) + 2 sob demanda (Assessoramento Especializado e Deslocamentos/Hospedagens)</w:t>
      </w:r>
    </w:p>
    <w:p>
      <w:pPr>
        <w:pStyle w:val="ListBullet"/>
      </w:pPr>
      <w:r>
        <w:t>Hierarquia: Produto → Ação → Atividade → Subatividade</w:t>
      </w:r>
    </w:p>
    <w:p>
      <w:pPr>
        <w:pStyle w:val="ListBullet"/>
      </w:pPr>
      <w:r>
        <w:t>Avaliação mensal por notas: Prazo, Forma e Argumento (0 / 0,3 / 0,5 / 1)</w:t>
      </w:r>
    </w:p>
    <w:p>
      <w:pPr>
        <w:pStyle w:val="ListBullet"/>
      </w:pPr>
      <w:r>
        <w:t>Fatores de ponderação: FPD (desempenho), FPA (alocação) e FPS (senioridade)</w:t>
      </w:r>
    </w:p>
    <w:p>
      <w:pPr>
        <w:pStyle w:val="ListBullet"/>
      </w:pPr>
      <w:r>
        <w:t>Valor Final Mensal (VFM) = Valor Ofertado × FPD × FPA × FPS</w:t>
      </w:r>
    </w:p>
    <w:p>
      <w:pPr>
        <w:pStyle w:val="ListBullet"/>
      </w:pPr>
      <w:r>
        <w:t>Monitoramento do deságio global (VMA vs VE) com retenção cautelar</w:t>
      </w:r>
    </w:p>
    <w:p>
      <w:pPr>
        <w:pStyle w:val="Heading1"/>
      </w:pPr>
      <w:r>
        <w:rPr>
          <w:color w:val="1D3B8F"/>
        </w:rPr>
        <w:t>2. Sugestões de implementação</w:t>
      </w:r>
    </w:p>
    <w:p>
      <w:pPr>
        <w:pStyle w:val="Heading2"/>
      </w:pPr>
      <w:r>
        <w:rPr>
          <w:color w:val="1D3B8F"/>
        </w:rPr>
        <w:t>2.1 Visão geral do contrato (Dashboard dedicado)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Cartões de visão geral: valor total, vigência, dias restantes, % medido, saldo a medir, dívida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Barra/gráfico por Produto (1–10) com % medido de cada um vs. o planejado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Alertas: saldo a medir alto no fim da vigência; próxima medição em atraso</w:t>
      </w:r>
    </w:p>
    <w:p>
      <w:pPr>
        <w:pStyle w:val="Heading2"/>
      </w:pPr>
      <w:r>
        <w:rPr>
          <w:color w:val="1D3B8F"/>
        </w:rPr>
        <w:t>2.2 Acompanhamento de medições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Gráfico mensal do valor medido (PI) + reajustes (RD/RP) ao longo das 36 medições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Comparação VFM previsto vs. realizado por produto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Detecção de buracos no calendário de medições (falta de medição mensal)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Auditoria dos percentuais de reajuste (RD/RP) mês a mês</w:t>
      </w:r>
    </w:p>
    <w:p>
      <w:pPr>
        <w:pStyle w:val="Heading2"/>
      </w:pPr>
      <w:r>
        <w:rPr>
          <w:color w:val="1D3B8F"/>
        </w:rPr>
        <w:t>2.3 Gestão por Produtos (módulo central — o que diferencia este contrato)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Tela com os 10 produtos e suas ações/atividades/subatividades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Lançamento de notas mensais (Prazo / Forma / Argumento) → Nota Final por ação → FPD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Cálculo do VFM = Valor Ofertado × FPD × FPA × FPS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Registro de não conformidades e planos de recuperação (obrigação da cláusula 5.40)</w:t>
      </w:r>
    </w:p>
    <w:p>
      <w:pPr>
        <w:pStyle w:val="Heading2"/>
      </w:pPr>
      <w:r>
        <w:rPr>
          <w:color w:val="1D3B8F"/>
        </w:rPr>
        <w:t>2.4 Equipes (Quadros 16–23)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Profissionais alocados vs. equipe referencial mínima por produto/ação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Indicador FPA (ausências) e FPS (senioridade) com impacto na medição</w:t>
      </w:r>
    </w:p>
    <w:p>
      <w:pPr>
        <w:pStyle w:val="Heading2"/>
      </w:pPr>
      <w:r>
        <w:rPr>
          <w:color w:val="1D3B8F"/>
        </w:rPr>
        <w:t>2.5 Gestão e Fiscalização (Quadro 25)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Fiscais/gestores organizados por produto (hoje há 17 registros genéricos de "Gestor/Fiscal")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Alertas de designação/portaria por produto</w:t>
      </w:r>
    </w:p>
    <w:p>
      <w:pPr>
        <w:pStyle w:val="Heading2"/>
      </w:pPr>
      <w:r>
        <w:rPr>
          <w:color w:val="1D3B8F"/>
        </w:rPr>
        <w:t>2.6 Financeiro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Empenho × faturamento × pagamento (tabela "pagamento" está vazia — avaliar alimentação)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Acompanhamento da dívida (R$ 11,78 mi) e fluxo de pagamento das medições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Monitoramento do deságio global (VMA vs VE) com retenção cautelar</w:t>
      </w:r>
    </w:p>
    <w:p>
      <w:pPr>
        <w:pStyle w:val="Heading2"/>
      </w:pPr>
      <w:r>
        <w:rPr>
          <w:color w:val="1D3B8F"/>
        </w:rPr>
        <w:t>2.7 Prazos e documentos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Próxima medição / prazos de subatividades (Quadro 4 — duração máxima em dias úteis)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Documentos do contrato (contrato + aditivos + apostilas) anexados ao painel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Vínculo com os processos SEI</w:t>
      </w:r>
    </w:p>
    <w:p>
      <w:pPr>
        <w:pStyle w:val="Heading2"/>
      </w:pPr>
      <w:r>
        <w:rPr>
          <w:color w:val="1D3B8F"/>
        </w:rPr>
        <w:t>2.8 Base/registro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Alimentar a tabela de pagamentos do contrato no backend (hoje vazia)</w:t>
      </w:r>
    </w:p>
    <w:p>
      <w:pPr>
        <w:spacing w:before="40" w:after="40"/>
      </w:pPr>
      <w:r>
        <w:rPr>
          <w:color w:val="15803D"/>
          <w:sz w:val="26"/>
        </w:rPr>
        <w:t xml:space="preserve">☐  </w:t>
      </w:r>
      <w:r>
        <w:t>Revisar a data de importação/consistência das medições (a 35ª veio antes da 1ª)</w:t>
      </w:r>
    </w:p>
    <w:p>
      <w:pPr>
        <w:pStyle w:val="Heading1"/>
      </w:pPr>
      <w:r>
        <w:rPr>
          <w:color w:val="1D3B8F"/>
        </w:rPr>
        <w:t>3. Priorização sugerida</w:t>
      </w:r>
    </w:p>
    <w:p>
      <w:r>
        <w:rPr>
          <w:b w:val="0"/>
        </w:rPr>
        <w:t>Ordem recomendada de implementação, do maior valor gerencial para o administrador:</w:t>
      </w:r>
    </w:p>
    <w:p>
      <w:pPr>
        <w:pStyle w:val="ListBullet"/>
      </w:pPr>
      <w:r>
        <w:t>1. Visão geral do contrato (Dashboard dedicado, filtrado ao 61/2023)</w:t>
      </w:r>
    </w:p>
    <w:p>
      <w:pPr>
        <w:pStyle w:val="ListBullet"/>
      </w:pPr>
      <w:r>
        <w:t>2. Módulo de Gestão por Produtos com notas mensais (é o que diferencia este contrato)</w:t>
      </w:r>
    </w:p>
    <w:p>
      <w:pPr>
        <w:pStyle w:val="ListBullet"/>
      </w:pPr>
      <w:r>
        <w:t>3. Acompanhamento de medições (gráfico mensal + alertas)</w:t>
      </w:r>
    </w:p>
    <w:p>
      <w:pPr>
        <w:pStyle w:val="ListBullet"/>
      </w:pPr>
      <w:r>
        <w:t>4. Financeiro (empenho × faturamento × pagamento + dívida)</w:t>
      </w:r>
    </w:p>
    <w:p>
      <w:pPr>
        <w:pStyle w:val="ListBullet"/>
      </w:pPr>
      <w:r>
        <w:t>5. Equipes e Gestão/Fiscalização (produto × fiscal/gestor)</w:t>
      </w:r>
    </w:p>
    <w:p>
      <w:pPr>
        <w:pStyle w:val="ListBullet"/>
      </w:pPr>
      <w:r>
        <w:t>6. Prazos, documentos e processos SEI</w:t>
      </w:r>
    </w:p>
    <w:p>
      <w:pPr>
        <w:pStyle w:val="Heading1"/>
      </w:pPr>
      <w:r>
        <w:rPr>
          <w:color w:val="1D3B8F"/>
        </w:rPr>
        <w:t>4. Dependências de dados</w:t>
      </w:r>
    </w:p>
    <w:p>
      <w:r>
        <w:rPr>
          <w:b w:val="0"/>
        </w:rPr>
        <w:t>Para implementar tudo, alguns dados precisam existir no backend:</w:t>
      </w:r>
    </w:p>
    <w:p>
      <w:pPr>
        <w:pStyle w:val="ListBullet"/>
      </w:pPr>
      <w:r>
        <w:t>Pagamentos do contrato 61/2023 (tabela "pagamento" está vazia)</w:t>
      </w:r>
    </w:p>
    <w:p>
      <w:pPr>
        <w:pStyle w:val="ListBullet"/>
      </w:pPr>
      <w:r>
        <w:t>Documentos anexos (tabela "documentos" está vazia para este contrato)</w:t>
      </w:r>
    </w:p>
    <w:p>
      <w:pPr>
        <w:pStyle w:val="ListBullet"/>
      </w:pPr>
      <w:r>
        <w:t>Ordens de serviço (tabela "ordem_servico" está vazia)</w:t>
      </w:r>
    </w:p>
    <w:p>
      <w:pPr>
        <w:pStyle w:val="ListBullet"/>
      </w:pPr>
      <w:r>
        <w:t>Notas de avaliação por produto/ação — não existem; podem ser criadas no próprio painel ou alimentadas via planilha/script</w:t>
      </w:r>
    </w:p>
    <w:p>
      <w:r>
        <w:rPr>
          <w:i/>
          <w:color w:val="555F70"/>
          <w:sz w:val="19"/>
        </w:rPr>
        <w:t>As notas de Prazo/Forma/Argumento e os fatores FPD/FPA/FPS são a parte mais rica do contrato e não estão no banco hoje — avaliar se o painel fará o lançamento ou se virão de planilhas.</w:t>
      </w:r>
    </w:p>
    <w:p/>
    <w:p>
      <w:pPr>
        <w:jc w:val="center"/>
      </w:pPr>
      <w:r>
        <w:rPr>
          <w:i/>
          <w:color w:val="555F70"/>
          <w:sz w:val="18"/>
        </w:rPr>
        <w:t>— Fim do documento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