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w:t>
      </w:r>
    </w:p>
    <w:p>
      <w:pPr>
        <w:jc w:val="center"/>
      </w:pPr>
      <w:r>
        <w:rPr>
          <w:i/>
          <w:sz w:val="26"/>
        </w:rPr>
        <w:t>Can B-factors identify flexible binding-site residues</w:t>
        <w:br/>
        <w:t>that reduce rigid docking accuracy?</w:t>
      </w:r>
    </w:p>
    <w:p/>
    <w:p>
      <w:pPr>
        <w:pStyle w:val="Heading1"/>
      </w:pPr>
      <w:r>
        <w:t>Research Question Overview</w:t>
      </w:r>
    </w:p>
    <w:p>
      <w:r>
        <w:t>This document compiles the key literature supporting the research question: Can B-factors (crystallographic temperature factors) identify flexible binding-site residues that reduce the accuracy of rigid-body docking predictions? The literature is organized into four thematic sections, each with annotated entries including citation, summary, applicability to our research, and open questions.</w:t>
      </w:r>
    </w:p>
    <w:p>
      <w:pPr>
        <w:pStyle w:val="Heading1"/>
      </w:pPr>
      <w:r>
        <w:t>Section 1: Protein Flexibility in Docking — Comprehensive Reviews</w:t>
      </w:r>
    </w:p>
    <w:p>
      <w:pPr>
        <w:pStyle w:val="Heading2"/>
      </w:pPr>
      <w:r>
        <w:t>1.1  Lexa &amp; Carlson (2012)</w:t>
      </w:r>
    </w:p>
    <w:p>
      <w:r>
        <w:rPr>
          <w:b/>
        </w:rPr>
        <w:t xml:space="preserve">Citation: </w:t>
      </w:r>
      <w:r>
        <w:t>Lexa, K. W., &amp; Carlson, H. A. (2012). Protein flexibility in docking and surface mapping. Quarterly Reviews of Biophysics, 45(3), 301–343. https://doi.org/10.1017/S0033583512000066</w:t>
      </w:r>
    </w:p>
    <w:p>
      <w:r>
        <w:rPr>
          <w:b/>
        </w:rPr>
        <w:t xml:space="preserve">Summary / Main Point: </w:t>
      </w:r>
      <w:r>
        <w:t>A comprehensive review (179 references) systematically cataloging how protein flexibility affects docking and surface mapping. The paper classifies methods for incorporating flexibility into four categories: (1) Refinement (post-docking adjustment), (2) Average/unified structures, (3) Serial docking to ensemble structures, and (4) On-the-fly conformational changes during docking. Extensive tables document specific methods (soft docking, rotamer libraries, induced fit docking, ensemble docking) with quantitative RMSD results across multiple target proteins. Key finding: Nichols et al. (2011) demonstrated that the predictive power of MD-derived conformations is negatively correlated with binding site flexibility — highly flexible sites are less useful for docking.</w:t>
      </w:r>
    </w:p>
    <w:p>
      <w:r>
        <w:rPr>
          <w:b/>
        </w:rPr>
        <w:t xml:space="preserve">What We Can Use: </w:t>
      </w:r>
      <w:r>
        <w:t>• Provides the complete methodological landscape for handling receptor flexibility in docking</w:t>
        <w:br/>
        <w:t>• Tables 1–6 compile success/failure data with RMSD values for each method across targets</w:t>
        <w:br/>
        <w:t>• The cross-docking problem is clearly illustrated (Figures 1–2): same protein + different ligands → different pocket shapes</w:t>
        <w:br/>
        <w:t>• Directly supports the argument that identifying flexible residues a priori is the unsolved bottleneck</w:t>
      </w:r>
    </w:p>
    <w:p>
      <w:r>
        <w:rPr>
          <w:b/>
        </w:rPr>
        <w:t xml:space="preserve">What to Learn More About: </w:t>
      </w:r>
      <w:r>
        <w:t>• Does not specifically address B-factors as predictors of which residues cause docking failures</w:t>
        <w:br/>
        <w:t>• Does not provide a quantitative framework for residue-level flexibility prediction</w:t>
        <w:br/>
        <w:t>• The gap this review leaves is exactly what our research question addresses</w:t>
      </w:r>
    </w:p>
    <w:p>
      <w:pPr>
        <w:pStyle w:val="Heading2"/>
      </w:pPr>
      <w:r>
        <w:t>1.2  Kokh, Wade &amp; Wenzel (2011)</w:t>
      </w:r>
    </w:p>
    <w:p>
      <w:r>
        <w:rPr>
          <w:b/>
        </w:rPr>
        <w:t xml:space="preserve">Citation: </w:t>
      </w:r>
      <w:r>
        <w:t>Kokh, D. B., Wade, R. C., &amp; Wenzel, W. (2011). Receptor flexibility in small-molecule docking calculations. WIREs Computational Molecular Science, 1(2), 298–314. https://doi.org/10.1002/wcms.29</w:t>
      </w:r>
    </w:p>
    <w:p>
      <w:r>
        <w:rPr>
          <w:b/>
        </w:rPr>
        <w:t xml:space="preserve">Summary / Main Point: </w:t>
      </w:r>
      <w:r>
        <w:t>A focused review on how receptor conformational changes affect docking accuracy. The authors argue that while protein flexibility is critical for understanding receptor–ligand binding, treating conformational changes remains a major challenge due to the enormous conformational space that must be sampled and the need for scoring functions that account for receptor reorganization energy. Most methods successfully reproduce docking poses of known ligands, but their benefit for enrichment, affinity prediction, and large-library screening is less clear. The paper discusses pitfalls and limitations of flexible-receptor docking strategies.</w:t>
      </w:r>
    </w:p>
    <w:p>
      <w:r>
        <w:rPr>
          <w:b/>
        </w:rPr>
        <w:t xml:space="preserve">What We Can Use: </w:t>
      </w:r>
      <w:r>
        <w:t>• Provides the critical perspective: pose prediction success ≠ virtual screening success</w:t>
        <w:br/>
        <w:t>• Framework for discussing limitations of current flexible-receptor methods</w:t>
        <w:br/>
        <w:t>• Supports the argument that a simple, fast predictor (B-factor) is needed to triage which residues matter</w:t>
      </w:r>
    </w:p>
    <w:p>
      <w:r>
        <w:rPr>
          <w:b/>
        </w:rPr>
        <w:t xml:space="preserve">What to Learn More About: </w:t>
      </w:r>
      <w:r>
        <w:t>• Does not explore B-factors or any crystallographic metric for predicting problematic residues</w:t>
        <w:br/>
        <w:t>• Does not address the residue-level question — only protein-level flexibility</w:t>
        <w:br/>
        <w:t>• Published in 2011; methods have advanced since, but the fundamental challenges remain</w:t>
      </w:r>
    </w:p>
    <w:p>
      <w:pPr>
        <w:pStyle w:val="Heading2"/>
      </w:pPr>
      <w:r>
        <w:t>1.3  Cavasotto &amp; Di Maccio (2024)</w:t>
      </w:r>
    </w:p>
    <w:p>
      <w:r>
        <w:rPr>
          <w:b/>
        </w:rPr>
        <w:t xml:space="preserve">Citation: </w:t>
      </w:r>
      <w:r>
        <w:t>Cavasotto, C. N., &amp; Di Maccio, E. (2024). Structure and dynamics in drug discovery. Nature, 1, 1. https://doi.org/10.1038/s44386-024-00001-2</w:t>
      </w:r>
    </w:p>
    <w:p>
      <w:r>
        <w:rPr>
          <w:b/>
        </w:rPr>
        <w:t xml:space="preserve">Summary / Main Point: </w:t>
      </w:r>
      <w:r>
        <w:t>A 2024 Nature review providing a panoramic view of protein flexibility in drug discovery. Notes that most docking tools allow full ligand flexibility but keep the protein fixed or with only limited flexibility. Systematically discusses sources of binding site flexibility (side-chain rearrangements, loop motions, domain movements) and their impact on virtual screening and lead optimization. Emphasizes integrating experimental data (including B-factor analysis) with computational methods (MD, ensemble docking) to characterize target flexibility.</w:t>
      </w:r>
    </w:p>
    <w:p>
      <w:r>
        <w:rPr>
          <w:b/>
        </w:rPr>
        <w:t xml:space="preserve">What We Can Use: </w:t>
      </w:r>
      <w:r>
        <w:t>• Most up-to-date review (2024) — establishes current state of the field</w:t>
        <w:br/>
        <w:t>• Explicitly discusses B-factor analysis as one tool for characterizing binding site flexibility</w:t>
        <w:br/>
        <w:t>• Published in Nature — high authority for framing the introduction</w:t>
        <w:br/>
        <w:t>• CRAAP: 24/25</w:t>
      </w:r>
    </w:p>
    <w:p>
      <w:pPr>
        <w:pStyle w:val="Heading1"/>
      </w:pPr>
      <w:r>
        <w:t>Section 2: B-factors and Binding Site Flexibility</w:t>
      </w:r>
    </w:p>
    <w:p>
      <w:pPr>
        <w:pStyle w:val="Heading2"/>
      </w:pPr>
      <w:r>
        <w:t>2.1  Halip et al. (2021) — BFIbs</w:t>
      </w:r>
    </w:p>
    <w:p>
      <w:r>
        <w:rPr>
          <w:b/>
        </w:rPr>
        <w:t xml:space="preserve">Citation: </w:t>
      </w:r>
      <w:r>
        <w:t>Halip, L., Avram, S., &amp; Neanu, C. (2021). The B-factor index for the binding site (BFIbs) to prioritize crystal protein structures for docking. Structural Chemistry, 32(4), 1693–1699. https://doi.org/10.1007/s11224-021-01755-5</w:t>
      </w:r>
    </w:p>
    <w:p>
      <w:r>
        <w:rPr>
          <w:b/>
        </w:rPr>
        <w:t xml:space="preserve">Summary / Main Point: </w:t>
      </w:r>
      <w:r>
        <w:t>Proposes the Binding site B-factor Index (BFIbs), defined as the ratio of binding site atom B-factors to whole-protein atom B-factors. Through automated docking of 26,019 protein–ligand complexes, BFIbs was found to be the only crystallographic quality metric significantly correlated with docking pose RMSD (compared to resolution, DPI, R-free, etc.). When BFIbs &lt; 1, most docking results achieve RMSD &lt; 2Å.</w:t>
      </w:r>
    </w:p>
    <w:p>
      <w:r>
        <w:rPr>
          <w:b/>
        </w:rPr>
        <w:t xml:space="preserve">What We Can Use: </w:t>
      </w:r>
      <w:r>
        <w:t>• THE most directly relevant paper — uses B-factors to predict docking accuracy at the binding site level</w:t>
        <w:br/>
        <w:t>• BFIbs definition and methodology can be directly applied in our analysis</w:t>
        <w:br/>
        <w:t>• Large-scale statistical evidence (26,019 complexes) supports the B-factor–docking accuracy link</w:t>
        <w:br/>
        <w:t>• CRAAP: 22/25</w:t>
      </w:r>
    </w:p>
    <w:p>
      <w:r>
        <w:rPr>
          <w:b/>
        </w:rPr>
        <w:t xml:space="preserve">What to Learn More About: </w:t>
      </w:r>
      <w:r>
        <w:t>• BFIbs treats the binding site as a whole — does not distinguish individual residue contributions</w:t>
        <w:br/>
        <w:t>• Does not explore cross-docking failures or residue-specific B-factor thresholds</w:t>
        <w:br/>
        <w:t>• Our research extends this to the residue level</w:t>
      </w:r>
    </w:p>
    <w:p>
      <w:pPr>
        <w:pStyle w:val="Heading2"/>
      </w:pPr>
      <w:r>
        <w:t>2.2  Halip et al. (2025) — LBI</w:t>
      </w:r>
    </w:p>
    <w:p>
      <w:r>
        <w:rPr>
          <w:b/>
        </w:rPr>
        <w:t xml:space="preserve">Citation: </w:t>
      </w:r>
      <w:r>
        <w:t>Halip, L., Avram, S., &amp; Neanu, C. (2025). Ligand B-factor index (LBI): A novel computational index for optimizing protein-ligand complex docking performance. Structural Chemistry.</w:t>
      </w:r>
    </w:p>
    <w:p>
      <w:r>
        <w:rPr>
          <w:b/>
        </w:rPr>
        <w:t xml:space="preserve">Summary / Main Point: </w:t>
      </w:r>
      <w:r>
        <w:t>Extends BFIbs to propose the Ligand B-factor Index (LBI), defined as the ratio of median binding site B-factors to median ligand B-factors. On the CASF-2016 benchmark (285 complexes), LBI shows moderate correlation with experimental binding affinity (Spearman ρ ≈ 0.48) and outperforms PBI and crystal resolution in pose prediction. When LBI is in the 0.8–1.2 range, &gt;75% of scoring functions successfully predict the native ligand conformation.</w:t>
      </w:r>
    </w:p>
    <w:p>
      <w:r>
        <w:rPr>
          <w:b/>
        </w:rPr>
        <w:t xml:space="preserve">What We Can Use: </w:t>
      </w:r>
      <w:r>
        <w:t>• Demonstrates that B-factor ratios (not absolute values) are more robust predictors</w:t>
        <w:br/>
        <w:t>• Provides a complementary metric to BFIbs for the analysis</w:t>
        <w:br/>
        <w:t>• CRAAP: 22/25</w:t>
      </w:r>
    </w:p>
    <w:p>
      <w:pPr>
        <w:pStyle w:val="Heading2"/>
      </w:pPr>
      <w:r>
        <w:t>2.3  Zhang et al. (2010) — B-factor &amp; Solvent Accessibility</w:t>
      </w:r>
    </w:p>
    <w:p>
      <w:r>
        <w:rPr>
          <w:b/>
        </w:rPr>
        <w:t xml:space="preserve">Citation: </w:t>
      </w:r>
      <w:r>
        <w:t>Zhang, H., Zhang, T., Chen, K., Shen, S., Ruan, J., &amp; Kurgan, L. (2010). On the relation between residue flexibility and local solvent accessibility in proteins. Proteins: Structure, Function, and Bioinformatics, 78(9), 2114–2130. https://doi.org/10.1002/prot.22375</w:t>
      </w:r>
    </w:p>
    <w:p>
      <w:r>
        <w:rPr>
          <w:b/>
        </w:rPr>
        <w:t xml:space="preserve">Summary / Main Point: </w:t>
      </w:r>
      <w:r>
        <w:t>Systematically investigates the relationship between residue flexibility (measured by B-factor) and relative solvent accessibility (RSA). Finds that local RSA strongly influences B-factor, and the flexibility-exposure correlation index is strongly related to amino acid folding stability. This means B-factor is confounded by solvent exposure — a critical consideration when interpreting B-factors at binding sites.</w:t>
      </w:r>
    </w:p>
    <w:p>
      <w:r>
        <w:rPr>
          <w:b/>
        </w:rPr>
        <w:t xml:space="preserve">What We Can Use: </w:t>
      </w:r>
      <w:r>
        <w:t>• Provides evidence for B-factor validity as a flexibility indicator</w:t>
        <w:br/>
        <w:t>• BUT also reveals a key confound: solvent accessibility affects B-factor</w:t>
        <w:br/>
        <w:t>• Must be discussed in our limitations section</w:t>
        <w:br/>
        <w:t>• CRAAP: 21/25</w:t>
      </w:r>
    </w:p>
    <w:p>
      <w:pPr>
        <w:pStyle w:val="Heading1"/>
      </w:pPr>
      <w:r>
        <w:t>Section 3: Impact of Flexibility on Docking Accuracy</w:t>
      </w:r>
    </w:p>
    <w:p>
      <w:pPr>
        <w:pStyle w:val="Heading2"/>
      </w:pPr>
      <w:r>
        <w:t>3.1  Najmanovich et al. (2000) — Side-chain Flexibility</w:t>
      </w:r>
    </w:p>
    <w:p>
      <w:r>
        <w:rPr>
          <w:b/>
        </w:rPr>
        <w:t xml:space="preserve">Citation: </w:t>
      </w:r>
      <w:r>
        <w:t>Najmanovich, R., Kuttner, J., Sobolev, V., &amp; Edelman, M. (2000). Side-chain flexibility in proteins upon ligand binding. Proteins: Structure, Function, and Genetics, 39(3), 261–268. https://doi.org/10.1002/(SICI)1097-0134(20000515)39:3&lt;261::AID-PROT117&gt;3.0.CO;2-K</w:t>
      </w:r>
    </w:p>
    <w:p>
      <w:r>
        <w:rPr>
          <w:b/>
        </w:rPr>
        <w:t xml:space="preserve">Summary / Main Point: </w:t>
      </w:r>
      <w:r>
        <w:t>Analyzed 980 apo/holo protein pairs from the PDB. Found that typically only a few binding-site residues change side-chain conformation upon ligand binding (≤3 residues in ~85% of cases). Established an amino acid side-chain flexibility scale: Lys &gt; Arg, Gln, Met &gt; Glu, Ile, Leu &gt; ... &gt; Phe (Lys bends 25× more frequently than Phe). CRITICAL FINDING: No correlation between backbone motion and side-chain flexibility — meaning B-factors (which primarily reflect backbone atom motion) may not directly predict side-chain flexibility.</w:t>
      </w:r>
    </w:p>
    <w:p>
      <w:r>
        <w:rPr>
          <w:b/>
        </w:rPr>
        <w:t xml:space="preserve">What We Can Use: </w:t>
      </w:r>
      <w:r>
        <w:t>• Amino acid flexibility scale provides prior knowledge for predicting problematic residues</w:t>
        <w:br/>
        <w:t>• The "backbone–side-chain decoupling" finding is the BIGGEST challenge to our hypothesis</w:t>
        <w:br/>
        <w:t>• Must be directly addressed: we argue that B-factors capture local environment dynamics, not just backbone motion per se</w:t>
        <w:br/>
        <w:t>• CRAAP: 21/25</w:t>
      </w:r>
    </w:p>
    <w:p>
      <w:pPr>
        <w:pStyle w:val="Heading2"/>
      </w:pPr>
      <w:r>
        <w:t>3.2  Sherman et al. (2006) — Induced Fit Docking</w:t>
      </w:r>
    </w:p>
    <w:p>
      <w:r>
        <w:rPr>
          <w:b/>
        </w:rPr>
        <w:t xml:space="preserve">Citation: </w:t>
      </w:r>
      <w:r>
        <w:t>Sherman, W., Day, T., Jacobson, M. P., Friesner, R. A., &amp; Farid, R. (2006). Novel procedure for modeling ligand/receptor induced fit effects. Journal of Medicinal Chemistry, 49(2), 534–553. https://doi.org/10.1021/jm050540c</w:t>
      </w:r>
    </w:p>
    <w:p>
      <w:r>
        <w:rPr>
          <w:b/>
        </w:rPr>
        <w:t xml:space="preserve">Summary / Main Point: </w:t>
      </w:r>
      <w:r>
        <w:t>Developed the Induced Fit Docking (IFD) protocol. Tested on 21 drug-relevant cases: rigid docking yielded average RMSD of 5.5Å (essentially failed), while IFD reduced average RMSD to 1.4Å (18/21 cases with RMSD ≤ 1.8Å). Provides quantitative proof that induced fit effects at binding-site residues are the primary cause of rigid docking failures.</w:t>
      </w:r>
    </w:p>
    <w:p>
      <w:r>
        <w:rPr>
          <w:b/>
        </w:rPr>
        <w:t xml:space="preserve">What We Can Use: </w:t>
      </w:r>
      <w:r>
        <w:t>• Quantitative evidence: rigid docking RMSD 5.5Å → IFD RMSD 1.4Å</w:t>
        <w:br/>
        <w:t>• IFD can serve as a comparison method: does B-factor-guided residue selection achieve similar improvements?</w:t>
        <w:br/>
        <w:t>• 21-case test set可作为benchmark</w:t>
        <w:br/>
        <w:t>• CRAAP: 23/25</w:t>
      </w:r>
    </w:p>
    <w:p>
      <w:pPr>
        <w:pStyle w:val="Heading2"/>
      </w:pPr>
      <w:r>
        <w:t>3.3  Jain (2009) — Pocket Adaptation</w:t>
      </w:r>
    </w:p>
    <w:p>
      <w:r>
        <w:rPr>
          <w:b/>
        </w:rPr>
        <w:t xml:space="preserve">Citation: </w:t>
      </w:r>
      <w:r>
        <w:t>Jain, A. N. (2009). Effects of protein conformation in docking: improved pose prediction through protein pocket adaptation. Journal of Computer-Aided Molecular Design, 23(6), 355–374. https://doi.org/10.1007/s10822-009-9266-3</w:t>
      </w:r>
    </w:p>
    <w:p>
      <w:r>
        <w:rPr>
          <w:b/>
        </w:rPr>
        <w:t xml:space="preserve">Summary / Main Point: </w:t>
      </w:r>
      <w:r>
        <w:t>Quantitatively assessed protein conformation effects on pose prediction using Surflex-Dock. Cognate docking success rate: &gt;75%. Cross-docking with a single fixed protein conformation: ~20% success. Using multiple conformations with pocket adaptation: 61–75% average success. Demonstrates that binding site conformational variation is the primary bottleneck for cross-docking.</w:t>
      </w:r>
    </w:p>
    <w:p>
      <w:r>
        <w:rPr>
          <w:b/>
        </w:rPr>
        <w:t xml:space="preserve">What We Can Use: </w:t>
      </w:r>
      <w:r>
        <w:t>• Quantitative cross-docking baseline: 20% → 75% success with multiple conformations</w:t>
        <w:br/>
        <w:t>• Supports the argument that protein conformation is the bottleneck, not the docking algorithm</w:t>
        <w:br/>
        <w:t>• CRAAP: 24/25</w:t>
      </w:r>
    </w:p>
    <w:p>
      <w:pPr>
        <w:pStyle w:val="Heading2"/>
      </w:pPr>
      <w:r>
        <w:t>3.4  Zhao &amp; Sanner (2007) — FLIPDock</w:t>
      </w:r>
    </w:p>
    <w:p>
      <w:r>
        <w:rPr>
          <w:b/>
        </w:rPr>
        <w:t xml:space="preserve">Citation: </w:t>
      </w:r>
      <w:r>
        <w:t>Zhao, Y., &amp; Sanner, M. F. (2007). FLIPDock: Docking flexible ligands into flexible receptors. Proteins: Structure, Function, and Bioinformatics, 68, 726–737. https://doi.org/10.1002/prot.21423</w:t>
      </w:r>
    </w:p>
    <w:p>
      <w:r>
        <w:rPr>
          <w:b/>
        </w:rPr>
        <w:t xml:space="preserve">Summary / Main Point: </w:t>
      </w:r>
      <w:r>
        <w:t>Systematically analyzed cross-docking failures across 4 receptors (cAPK, CDK2, Ricin, HIVp). Of 33 cross-docking experiments, 25 failed — and the vast majority of failures were caused by side-chain conformational changes near the active site. Allowing these side chains to adopt rotameric conformations successfully rescued 19 complexes (RMSD &lt; 2.0Å). Using geometric constraints from bonding/non-bonding interaction networks, 22/25 complexes were successfully docked.</w:t>
      </w:r>
    </w:p>
    <w:p>
      <w:r>
        <w:rPr>
          <w:b/>
        </w:rPr>
        <w:t xml:space="preserve">What We Can Use: </w:t>
      </w:r>
      <w:r>
        <w:t>• Direct evidence: cross-docking failures are primarily caused by binding-site side-chain flexibility</w:t>
        <w:br/>
        <w:t>• Provides a method for identifying which side chains need to be flexible (spatial overlap analysis)</w:t>
        <w:br/>
        <w:t>• Our research question: can B-factors replace this more labor-intensive analysis?</w:t>
        <w:br/>
        <w:t>• CRAAP: 21/25</w:t>
      </w:r>
    </w:p>
    <w:p>
      <w:pPr>
        <w:pStyle w:val="Heading2"/>
      </w:pPr>
      <w:r>
        <w:t>3.5  Gunasekaran &amp; Nussinov (2007) — Flexible vs Rigid Binding Sites</w:t>
      </w:r>
    </w:p>
    <w:p>
      <w:r>
        <w:rPr>
          <w:b/>
        </w:rPr>
        <w:t xml:space="preserve">Citation: </w:t>
      </w:r>
      <w:r>
        <w:t>Gunasekaran, K., &amp; Nussinov, R. (2007). How different are structurally flexible and rigid binding sites? Sequence and structural features discriminating proteins that do and do not undergo conformational change upon ligand binding. Journal of Molecular Biology, 365(1), 257–273. https://doi.org/10.1016/j.jmb.2006.10.038</w:t>
      </w:r>
    </w:p>
    <w:p>
      <w:r>
        <w:rPr>
          <w:b/>
        </w:rPr>
        <w:t xml:space="preserve">Summary / Main Point: </w:t>
      </w:r>
      <w:r>
        <w:t>Systematically distinguishes sequence and structural features of flexible vs rigid binding sites. Flexible binding sites tend to have higher B-factors, more loop regions, and lower residue conservation. These features can partially predict whether a protein will undergo conformational change upon ligand binding.</w:t>
      </w:r>
    </w:p>
    <w:p>
      <w:r>
        <w:rPr>
          <w:b/>
        </w:rPr>
        <w:t xml:space="preserve">What We Can Use: </w:t>
      </w:r>
      <w:r>
        <w:t>• B-factor is identified as a KEY distinguishing feature between flexible and rigid binding sites</w:t>
        <w:br/>
        <w:t>• Provides theoretical support for using B-factors to identify problematic residues</w:t>
        <w:br/>
        <w:t>• Published in JMB by Nussinov — high authority</w:t>
        <w:br/>
        <w:t>• CRAAP: 23/25</w:t>
      </w:r>
    </w:p>
    <w:p>
      <w:pPr>
        <w:pStyle w:val="Heading1"/>
      </w:pPr>
      <w:r>
        <w:t>Section 4: Ensemble Docking and Flexible-Receptor Methods</w:t>
      </w:r>
    </w:p>
    <w:p>
      <w:pPr>
        <w:pStyle w:val="Heading2"/>
      </w:pPr>
      <w:r>
        <w:t>4.1  Amaro et al. (2018) — Ensemble Docking Review</w:t>
      </w:r>
    </w:p>
    <w:p>
      <w:r>
        <w:rPr>
          <w:b/>
        </w:rPr>
        <w:t xml:space="preserve">Citation: </w:t>
      </w:r>
      <w:r>
        <w:t>Amaro, R. E., Baudry, J., Chodera, J., Demir, Ö., McCammon, J. A., Miao, Y., &amp; Smith, J. C. (2018). Ensemble docking in drug discovery. Biophysical Journal, 114(10), 2271–2278. https://doi.org/10.1016/j.bpj.2018.02.038</w:t>
      </w:r>
    </w:p>
    <w:p>
      <w:r>
        <w:rPr>
          <w:b/>
        </w:rPr>
        <w:t xml:space="preserve">Summary / Main Point: </w:t>
      </w:r>
      <w:r>
        <w:t>Comprehensive review of ensemble docking in drug discovery. Ensemble docking generates multiple protein conformations (typically from MD simulations) and docks against each to approximate receptor flexibility. Discusses conformational sampling methods (MD, NMR, crystal structure ensembles), conformation selection strategies (clustering, energy weighting), and applications in virtual screening.</w:t>
      </w:r>
    </w:p>
    <w:p>
      <w:r>
        <w:rPr>
          <w:b/>
        </w:rPr>
        <w:t xml:space="preserve">What We Can Use: </w:t>
      </w:r>
      <w:r>
        <w:t>• Complete methodological framework for ensemble docking</w:t>
        <w:br/>
        <w:t>• B-factors could serve as a conformation selection criterion — discussed but not explored</w:t>
        <w:br/>
        <w:t>• CRAAP: 24/25</w:t>
      </w:r>
    </w:p>
    <w:p>
      <w:pPr>
        <w:pStyle w:val="Heading2"/>
      </w:pPr>
      <w:r>
        <w:t>4.2  Bottegoni et al. (2009) — 4D Docking</w:t>
      </w:r>
    </w:p>
    <w:p>
      <w:r>
        <w:rPr>
          <w:b/>
        </w:rPr>
        <w:t xml:space="preserve">Citation: </w:t>
      </w:r>
      <w:r>
        <w:t>Bottegoni, G., Kufareva, I., Totrov, M., &amp; Abagyan, R. (2009). Four-dimensional docking: A fast and accurate account of discrete receptor flexibility in ligand docking. Journal of Medicinal Chemistry, 52(2), 397–406. https://doi.org/10.1021/jm8009958</w:t>
      </w:r>
    </w:p>
    <w:p>
      <w:r>
        <w:rPr>
          <w:b/>
        </w:rPr>
        <w:t xml:space="preserve">Summary / Main Point: </w:t>
      </w:r>
      <w:r>
        <w:t>Developed 4D docking, integrating multiple receptor conformations into a single docking simulation. Benchmarked on 99 drug-related proteins, 300 ligands, 1113 receptor structures: 77.3% success rate in correctly reproducing ligand binding geometry. 4× faster than traditional ensemble docking while maintaining accuracy.</w:t>
      </w:r>
    </w:p>
    <w:p>
      <w:r>
        <w:rPr>
          <w:b/>
        </w:rPr>
        <w:t xml:space="preserve">What We Can Use: </w:t>
      </w:r>
      <w:r>
        <w:t>• Large-scale benchmark data for evaluating B-factor-based methods</w:t>
        <w:br/>
        <w:t>• Demonstrates that crystal structure ensembles (not just MD) can effectively characterize flexibility</w:t>
        <w:br/>
        <w:t>• CRAAP: 22/25</w:t>
      </w:r>
    </w:p>
    <w:p>
      <w:pPr>
        <w:pStyle w:val="Heading2"/>
      </w:pPr>
      <w:r>
        <w:t>4.3  Carlson (2002) — Moving Target</w:t>
      </w:r>
    </w:p>
    <w:p>
      <w:r>
        <w:rPr>
          <w:b/>
        </w:rPr>
        <w:t xml:space="preserve">Citation: </w:t>
      </w:r>
      <w:r>
        <w:t>Carlson, H. A. (2002). Protein flexibility and drug design: how to hit a moving target. Current Opinion in Chemical Biology, 6(4), 447–452. https://doi.org/10.1016/S1367-5931(02)00350-4</w:t>
      </w:r>
    </w:p>
    <w:p>
      <w:r>
        <w:rPr>
          <w:b/>
        </w:rPr>
        <w:t xml:space="preserve">Summary / Main Point: </w:t>
      </w:r>
      <w:r>
        <w:t>A seminal review that first systematically articulated the challenge of protein flexibility for drug design. Introduced the "moving target" metaphor — protein binding sites are dynamic, not static. Argued that the most advanced drug design and database mining methods must incorporate protein flexibility.</w:t>
      </w:r>
    </w:p>
    <w:p>
      <w:r>
        <w:rPr>
          <w:b/>
        </w:rPr>
        <w:t xml:space="preserve">What We Can Use: </w:t>
      </w:r>
      <w:r>
        <w:t>• Classic conceptual framework for the introduction</w:t>
        <w:br/>
        <w:t>• "Moving target" metaphor is effective for presentations</w:t>
        <w:br/>
        <w:t>• CRAAP: 21/25</w:t>
      </w:r>
    </w:p>
    <w:p>
      <w:pPr>
        <w:pStyle w:val="Heading1"/>
      </w:pPr>
      <w:r>
        <w:t>Summary: Literature by Priority</w:t>
      </w:r>
    </w:p>
    <w:p>
      <w:pPr>
        <w:pStyle w:val="Heading2"/>
      </w:pPr>
      <w:r>
        <w:t>Must-Read (Core Support)</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tcPr>
          <w:p>
            <w:r>
              <w:rPr>
                <w:b/>
              </w:rPr>
              <w:t>Paper</w:t>
            </w:r>
          </w:p>
        </w:tc>
        <w:tc>
          <w:tcPr>
            <w:tcW w:type="dxa" w:w="2196"/>
          </w:tcPr>
          <w:p>
            <w:r>
              <w:rPr>
                <w:b/>
              </w:rPr>
              <w:t>Score</w:t>
            </w:r>
          </w:p>
        </w:tc>
        <w:tc>
          <w:tcPr>
            <w:tcW w:type="dxa" w:w="2196"/>
          </w:tcPr>
          <w:p>
            <w:r>
              <w:rPr>
                <w:b/>
              </w:rPr>
              <w:t>Key Contribution</w:t>
            </w:r>
          </w:p>
        </w:tc>
        <w:tc>
          <w:tcPr>
            <w:tcW w:type="dxa" w:w="2196"/>
          </w:tcPr>
          <w:p>
            <w:r>
              <w:rPr>
                <w:b/>
              </w:rPr>
              <w:t>Role in Argument</w:t>
            </w:r>
          </w:p>
        </w:tc>
      </w:tr>
      <w:tr>
        <w:tc>
          <w:tcPr>
            <w:tcW w:type="dxa" w:w="2196"/>
          </w:tcPr>
          <w:p>
            <w:r>
              <w:t>Halip et al. (2021) BFIbs</w:t>
            </w:r>
          </w:p>
        </w:tc>
        <w:tc>
          <w:tcPr>
            <w:tcW w:type="dxa" w:w="2196"/>
          </w:tcPr>
          <w:p>
            <w:r>
              <w:t>22/25</w:t>
            </w:r>
          </w:p>
        </w:tc>
        <w:tc>
          <w:tcPr>
            <w:tcW w:type="dxa" w:w="2196"/>
          </w:tcPr>
          <w:p>
            <w:r>
              <w:t>B-factor → docking accuracy (26K complexes)</w:t>
            </w:r>
          </w:p>
        </w:tc>
        <w:tc>
          <w:tcPr>
            <w:tcW w:type="dxa" w:w="2196"/>
          </w:tcPr>
          <w:p>
            <w:r>
              <w:t>Core evidence for hypothesis</w:t>
            </w:r>
          </w:p>
        </w:tc>
      </w:tr>
      <w:tr>
        <w:tc>
          <w:tcPr>
            <w:tcW w:type="dxa" w:w="2196"/>
          </w:tcPr>
          <w:p>
            <w:r>
              <w:t>Sherman et al. (2006) IFD</w:t>
            </w:r>
          </w:p>
        </w:tc>
        <w:tc>
          <w:tcPr>
            <w:tcW w:type="dxa" w:w="2196"/>
          </w:tcPr>
          <w:p>
            <w:r>
              <w:t>23/25</w:t>
            </w:r>
          </w:p>
        </w:tc>
        <w:tc>
          <w:tcPr>
            <w:tcW w:type="dxa" w:w="2196"/>
          </w:tcPr>
          <w:p>
            <w:r>
              <w:t>Rigid 5.5Å → IFD 1.4Å RMSD</w:t>
            </w:r>
          </w:p>
        </w:tc>
        <w:tc>
          <w:tcPr>
            <w:tcW w:type="dxa" w:w="2196"/>
          </w:tcPr>
          <w:p>
            <w:r>
              <w:t>Quantifies the problem</w:t>
            </w:r>
          </w:p>
        </w:tc>
      </w:tr>
      <w:tr>
        <w:tc>
          <w:tcPr>
            <w:tcW w:type="dxa" w:w="2196"/>
          </w:tcPr>
          <w:p>
            <w:r>
              <w:t>Najmanovich et al. (2000)</w:t>
            </w:r>
          </w:p>
        </w:tc>
        <w:tc>
          <w:tcPr>
            <w:tcW w:type="dxa" w:w="2196"/>
          </w:tcPr>
          <w:p>
            <w:r>
              <w:t>21/25</w:t>
            </w:r>
          </w:p>
        </w:tc>
        <w:tc>
          <w:tcPr>
            <w:tcW w:type="dxa" w:w="2196"/>
          </w:tcPr>
          <w:p>
            <w:r>
              <w:t>Backbone–side-chain decoupling</w:t>
            </w:r>
          </w:p>
        </w:tc>
        <w:tc>
          <w:tcPr>
            <w:tcW w:type="dxa" w:w="2196"/>
          </w:tcPr>
          <w:p>
            <w:r>
              <w:t>Key challenge to address</w:t>
            </w:r>
          </w:p>
        </w:tc>
      </w:tr>
      <w:tr>
        <w:tc>
          <w:tcPr>
            <w:tcW w:type="dxa" w:w="2196"/>
          </w:tcPr>
          <w:p>
            <w:r>
              <w:t>Zhao &amp; Sanner (2007) FLIPDock</w:t>
            </w:r>
          </w:p>
        </w:tc>
        <w:tc>
          <w:tcPr>
            <w:tcW w:type="dxa" w:w="2196"/>
          </w:tcPr>
          <w:p>
            <w:r>
              <w:t>21/25</w:t>
            </w:r>
          </w:p>
        </w:tc>
        <w:tc>
          <w:tcPr>
            <w:tcW w:type="dxa" w:w="2196"/>
          </w:tcPr>
          <w:p>
            <w:r>
              <w:t>25/33 failures from side-chain changes</w:t>
            </w:r>
          </w:p>
        </w:tc>
        <w:tc>
          <w:tcPr>
            <w:tcW w:type="dxa" w:w="2196"/>
          </w:tcPr>
          <w:p>
            <w:r>
              <w:t>Direct evidence</w:t>
            </w:r>
          </w:p>
        </w:tc>
      </w:tr>
      <w:tr>
        <w:tc>
          <w:tcPr>
            <w:tcW w:type="dxa" w:w="2196"/>
          </w:tcPr>
          <w:p>
            <w:r>
              <w:t>Jain (2009)</w:t>
            </w:r>
          </w:p>
        </w:tc>
        <w:tc>
          <w:tcPr>
            <w:tcW w:type="dxa" w:w="2196"/>
          </w:tcPr>
          <w:p>
            <w:r>
              <w:t>24/25</w:t>
            </w:r>
          </w:p>
        </w:tc>
        <w:tc>
          <w:tcPr>
            <w:tcW w:type="dxa" w:w="2196"/>
          </w:tcPr>
          <w:p>
            <w:r>
              <w:t>Cross-docking 20% → 75%</w:t>
            </w:r>
          </w:p>
        </w:tc>
        <w:tc>
          <w:tcPr>
            <w:tcW w:type="dxa" w:w="2196"/>
          </w:tcPr>
          <w:p>
            <w:r>
              <w:t>Quantitative baseline</w:t>
            </w:r>
          </w:p>
        </w:tc>
      </w:tr>
      <w:tr>
        <w:tc>
          <w:tcPr>
            <w:tcW w:type="dxa" w:w="2196"/>
          </w:tcPr>
          <w:p>
            <w:r>
              <w:t>Gunasekaran &amp; Nussinov (2007)</w:t>
            </w:r>
          </w:p>
        </w:tc>
        <w:tc>
          <w:tcPr>
            <w:tcW w:type="dxa" w:w="2196"/>
          </w:tcPr>
          <w:p>
            <w:r>
              <w:t>23/25</w:t>
            </w:r>
          </w:p>
        </w:tc>
        <w:tc>
          <w:tcPr>
            <w:tcW w:type="dxa" w:w="2196"/>
          </w:tcPr>
          <w:p>
            <w:r>
              <w:t>B-factor distinguishes flexible/rigid sites</w:t>
            </w:r>
          </w:p>
        </w:tc>
        <w:tc>
          <w:tcPr>
            <w:tcW w:type="dxa" w:w="2196"/>
          </w:tcPr>
          <w:p>
            <w:r>
              <w:t>Theoretical support</w:t>
            </w:r>
          </w:p>
        </w:tc>
      </w:tr>
      <w:tr>
        <w:tc>
          <w:tcPr>
            <w:tcW w:type="dxa" w:w="2196"/>
          </w:tcPr>
          <w:p>
            <w:r>
              <w:t>Lexa &amp; Carlson (2012)</w:t>
            </w:r>
          </w:p>
        </w:tc>
        <w:tc>
          <w:tcPr>
            <w:tcW w:type="dxa" w:w="2196"/>
          </w:tcPr>
          <w:p>
            <w:r>
              <w:t>N/A</w:t>
            </w:r>
          </w:p>
        </w:tc>
        <w:tc>
          <w:tcPr>
            <w:tcW w:type="dxa" w:w="2196"/>
          </w:tcPr>
          <w:p>
            <w:r>
              <w:t>Complete methods landscape</w:t>
            </w:r>
          </w:p>
        </w:tc>
        <w:tc>
          <w:tcPr>
            <w:tcW w:type="dxa" w:w="2196"/>
          </w:tcPr>
          <w:p>
            <w:r>
              <w:t>Methodological framework</w:t>
            </w:r>
          </w:p>
        </w:tc>
      </w:tr>
    </w:tbl>
    <w:p>
      <w:pPr>
        <w:pStyle w:val="Heading2"/>
      </w:pPr>
      <w:r>
        <w:t>Important References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tcPr>
          <w:p>
            <w:r>
              <w:rPr>
                <w:b/>
              </w:rPr>
              <w:t>Paper</w:t>
            </w:r>
          </w:p>
        </w:tc>
        <w:tc>
          <w:tcPr>
            <w:tcW w:type="dxa" w:w="2196"/>
          </w:tcPr>
          <w:p>
            <w:r>
              <w:rPr>
                <w:b/>
              </w:rPr>
              <w:t>Score</w:t>
            </w:r>
          </w:p>
        </w:tc>
        <w:tc>
          <w:tcPr>
            <w:tcW w:type="dxa" w:w="2196"/>
          </w:tcPr>
          <w:p>
            <w:r>
              <w:rPr>
                <w:b/>
              </w:rPr>
              <w:t>Key Contribution</w:t>
            </w:r>
          </w:p>
        </w:tc>
        <w:tc>
          <w:tcPr>
            <w:tcW w:type="dxa" w:w="2196"/>
          </w:tcPr>
          <w:p>
            <w:r>
              <w:rPr>
                <w:b/>
              </w:rPr>
              <w:t>Role in Argument</w:t>
            </w:r>
          </w:p>
        </w:tc>
      </w:tr>
      <w:tr>
        <w:tc>
          <w:tcPr>
            <w:tcW w:type="dxa" w:w="2196"/>
          </w:tcPr>
          <w:p>
            <w:r>
              <w:t>Cavasotto &amp; Di Maccio (2024)</w:t>
            </w:r>
          </w:p>
        </w:tc>
        <w:tc>
          <w:tcPr>
            <w:tcW w:type="dxa" w:w="2196"/>
          </w:tcPr>
          <w:p>
            <w:r>
              <w:t>24/25</w:t>
            </w:r>
          </w:p>
        </w:tc>
        <w:tc>
          <w:tcPr>
            <w:tcW w:type="dxa" w:w="2196"/>
          </w:tcPr>
          <w:p>
            <w:r>
              <w:t>Latest Nature review on flexibility in drug discovery</w:t>
            </w:r>
          </w:p>
        </w:tc>
        <w:tc>
          <w:tcPr>
            <w:tcW w:type="dxa" w:w="2196"/>
          </w:tcPr>
          <w:p>
            <w:r>
              <w:t>Current state of field</w:t>
            </w:r>
          </w:p>
        </w:tc>
      </w:tr>
      <w:tr>
        <w:tc>
          <w:tcPr>
            <w:tcW w:type="dxa" w:w="2196"/>
          </w:tcPr>
          <w:p>
            <w:r>
              <w:t>Kokh et al. (2011)</w:t>
            </w:r>
          </w:p>
        </w:tc>
        <w:tc>
          <w:tcPr>
            <w:tcW w:type="dxa" w:w="2196"/>
          </w:tcPr>
          <w:p>
            <w:r>
              <w:t>N/A</w:t>
            </w:r>
          </w:p>
        </w:tc>
        <w:tc>
          <w:tcPr>
            <w:tcW w:type="dxa" w:w="2196"/>
          </w:tcPr>
          <w:p>
            <w:r>
              <w:t>Pose ≠ screening; limitations of flexible docking</w:t>
            </w:r>
          </w:p>
        </w:tc>
        <w:tc>
          <w:tcPr>
            <w:tcW w:type="dxa" w:w="2196"/>
          </w:tcPr>
          <w:p>
            <w:r>
              <w:t>Critical perspective</w:t>
            </w:r>
          </w:p>
        </w:tc>
      </w:tr>
      <w:tr>
        <w:tc>
          <w:tcPr>
            <w:tcW w:type="dxa" w:w="2196"/>
          </w:tcPr>
          <w:p>
            <w:r>
              <w:t>Halip et al. (2025) LBI</w:t>
            </w:r>
          </w:p>
        </w:tc>
        <w:tc>
          <w:tcPr>
            <w:tcW w:type="dxa" w:w="2196"/>
          </w:tcPr>
          <w:p>
            <w:r>
              <w:t>22/25</w:t>
            </w:r>
          </w:p>
        </w:tc>
        <w:tc>
          <w:tcPr>
            <w:tcW w:type="dxa" w:w="2196"/>
          </w:tcPr>
          <w:p>
            <w:r>
              <w:t>B-factor ratio metric for pose prediction</w:t>
            </w:r>
          </w:p>
        </w:tc>
        <w:tc>
          <w:tcPr>
            <w:tcW w:type="dxa" w:w="2196"/>
          </w:tcPr>
          <w:p>
            <w:r>
              <w:t>Complementary method</w:t>
            </w:r>
          </w:p>
        </w:tc>
      </w:tr>
      <w:tr>
        <w:tc>
          <w:tcPr>
            <w:tcW w:type="dxa" w:w="2196"/>
          </w:tcPr>
          <w:p>
            <w:r>
              <w:t>Zhang et al. (2010)</w:t>
            </w:r>
          </w:p>
        </w:tc>
        <w:tc>
          <w:tcPr>
            <w:tcW w:type="dxa" w:w="2196"/>
          </w:tcPr>
          <w:p>
            <w:r>
              <w:t>21/25</w:t>
            </w:r>
          </w:p>
        </w:tc>
        <w:tc>
          <w:tcPr>
            <w:tcW w:type="dxa" w:w="2196"/>
          </w:tcPr>
          <w:p>
            <w:r>
              <w:t>B-factor confounded by solvent accessibility</w:t>
            </w:r>
          </w:p>
        </w:tc>
        <w:tc>
          <w:tcPr>
            <w:tcW w:type="dxa" w:w="2196"/>
          </w:tcPr>
          <w:p>
            <w:r>
              <w:t>Limitation to discuss</w:t>
            </w:r>
          </w:p>
        </w:tc>
      </w:tr>
      <w:tr>
        <w:tc>
          <w:tcPr>
            <w:tcW w:type="dxa" w:w="2196"/>
          </w:tcPr>
          <w:p>
            <w:r>
              <w:t>Amaro et al. (2018)</w:t>
            </w:r>
          </w:p>
        </w:tc>
        <w:tc>
          <w:tcPr>
            <w:tcW w:type="dxa" w:w="2196"/>
          </w:tcPr>
          <w:p>
            <w:r>
              <w:t>24/25</w:t>
            </w:r>
          </w:p>
        </w:tc>
        <w:tc>
          <w:tcPr>
            <w:tcW w:type="dxa" w:w="2196"/>
          </w:tcPr>
          <w:p>
            <w:r>
              <w:t>Ensemble docking framework</w:t>
            </w:r>
          </w:p>
        </w:tc>
        <w:tc>
          <w:tcPr>
            <w:tcW w:type="dxa" w:w="2196"/>
          </w:tcPr>
          <w:p>
            <w:r>
              <w:t>Context for solutions</w:t>
            </w:r>
          </w:p>
        </w:tc>
      </w:tr>
      <w:tr>
        <w:tc>
          <w:tcPr>
            <w:tcW w:type="dxa" w:w="2196"/>
          </w:tcPr>
          <w:p>
            <w:r>
              <w:t>Bottegoni et al. (2009)</w:t>
            </w:r>
          </w:p>
        </w:tc>
        <w:tc>
          <w:tcPr>
            <w:tcW w:type="dxa" w:w="2196"/>
          </w:tcPr>
          <w:p>
            <w:r>
              <w:t>22/25</w:t>
            </w:r>
          </w:p>
        </w:tc>
        <w:tc>
          <w:tcPr>
            <w:tcW w:type="dxa" w:w="2196"/>
          </w:tcPr>
          <w:p>
            <w:r>
              <w:t>4D docking benchmark (99 proteins)</w:t>
            </w:r>
          </w:p>
        </w:tc>
        <w:tc>
          <w:tcPr>
            <w:tcW w:type="dxa" w:w="2196"/>
          </w:tcPr>
          <w:p>
            <w:r>
              <w:t>Benchmark data</w:t>
            </w:r>
          </w:p>
        </w:tc>
      </w:tr>
      <w:tr>
        <w:tc>
          <w:tcPr>
            <w:tcW w:type="dxa" w:w="2196"/>
          </w:tcPr>
          <w:p>
            <w:r>
              <w:t>Carlson (2002)</w:t>
            </w:r>
          </w:p>
        </w:tc>
        <w:tc>
          <w:tcPr>
            <w:tcW w:type="dxa" w:w="2196"/>
          </w:tcPr>
          <w:p>
            <w:r>
              <w:t>21/25</w:t>
            </w:r>
          </w:p>
        </w:tc>
        <w:tc>
          <w:tcPr>
            <w:tcW w:type="dxa" w:w="2196"/>
          </w:tcPr>
          <w:p>
            <w:r>
              <w:t>"Moving target" conceptual framework</w:t>
            </w:r>
          </w:p>
        </w:tc>
        <w:tc>
          <w:tcPr>
            <w:tcW w:type="dxa" w:w="2196"/>
          </w:tcPr>
          <w:p>
            <w:r>
              <w:t>Introduction framing</w:t>
            </w:r>
          </w:p>
        </w:tc>
      </w:tr>
    </w:tbl>
    <w:p>
      <w:pPr>
        <w:pStyle w:val="Heading1"/>
      </w:pPr>
      <w:r>
        <w:t>Identified Research Gap</w:t>
      </w:r>
    </w:p>
    <w:p>
      <w:r>
        <w:t>The literature reveals a clear gap that our research question addresses:</w:t>
      </w:r>
    </w:p>
    <w:p>
      <w:pPr>
        <w:pStyle w:val="ListBullet"/>
      </w:pPr>
      <w:r>
        <w:t>What is known:</w:t>
      </w:r>
    </w:p>
    <w:p>
      <w:pPr>
        <w:pStyle w:val="ListBullet2"/>
      </w:pPr>
      <w:r>
        <w:t>Binding site flexibility is the primary cause of cross-docking failures (Jain 2009; FLIPDock; Sherman 2006)</w:t>
      </w:r>
    </w:p>
    <w:p>
      <w:pPr>
        <w:pStyle w:val="ListBullet2"/>
      </w:pPr>
      <w:r>
        <w:t>B-factors correlate with overall binding site docking quality (BFIbs, Halip 2021)</w:t>
      </w:r>
    </w:p>
    <w:p>
      <w:pPr>
        <w:pStyle w:val="ListBullet2"/>
      </w:pPr>
      <w:r>
        <w:t>Flexible and rigid binding sites can be distinguished by features including B-factor (Gunasekaran &amp; Nussinov 2007)</w:t>
      </w:r>
    </w:p>
    <w:p>
      <w:pPr>
        <w:pStyle w:val="ListBullet"/>
      </w:pPr>
      <w:r>
        <w:t>What remains unsolved:</w:t>
      </w:r>
    </w:p>
    <w:p>
      <w:pPr>
        <w:pStyle w:val="ListBullet2"/>
      </w:pPr>
      <w:r>
        <w:t>No study has validated at the RESIDUE level whether B-factors predict which specific flexible residues cause docking failures</w:t>
      </w:r>
    </w:p>
    <w:p>
      <w:pPr>
        <w:pStyle w:val="ListBullet2"/>
      </w:pPr>
      <w:r>
        <w:t>Najmanovich (2000) found backbone motion and side-chain flexibility are uncorrelated — this challenges using B-factors to predict side-chain behavior, but has not been systematically tested in the docking context</w:t>
      </w:r>
    </w:p>
    <w:p>
      <w:pPr>
        <w:pStyle w:val="ListBullet2"/>
      </w:pPr>
      <w:r>
        <w:t>No study has compared B-factor-guided residue selection with existing methods (IFD, ensemble docking) in terms of efficiency and accuracy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