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Paper Outline</w:t>
      </w:r>
    </w:p>
    <w:p>
      <w:pPr>
        <w:jc w:val="center"/>
      </w:pPr>
      <w:r>
        <w:rPr>
          <w:i/>
          <w:sz w:val="26"/>
        </w:rPr>
        <w:t>Can B-factors identify flexible binding-site residues</w:t>
        <w:br/>
        <w:t>that reduce rigid docking accuracy?</w:t>
      </w:r>
    </w:p>
    <w:p/>
    <w:p>
      <w:pPr>
        <w:pStyle w:val="Heading1"/>
      </w:pPr>
      <w:r>
        <w:t>Thesis Statement</w:t>
      </w:r>
    </w:p>
    <w:p>
      <w:r>
        <w:t>Although B-factors are widely used as indicators of protein flexibility, their ability to predict which specific binding-site residues cause rigid docking failures has not been systematically validated at the residue level. This paper argues that binding-site B-factor distributions contain actionable signal for predicting cross-docking accuracy, despite known limitations such as the backbone-side-chain decoupling identified by Najmanovich et al. (2000). Through analysis of existing structural data and computational cross-docking experiments, we evaluate whether residue-level B-factors can serve as a simple, zero-cost predictor of docking failure — and where this approach breaks down.</w:t>
      </w:r>
    </w:p>
    <w:p>
      <w:pPr>
        <w:pStyle w:val="Heading1"/>
      </w:pPr>
      <w:r>
        <w:t>I. Introduction</w:t>
      </w:r>
    </w:p>
    <w:p>
      <w:pPr>
        <w:pStyle w:val="Heading2"/>
      </w:pPr>
      <w:r>
        <w:t>A. The "Moving Target" Problem</w:t>
      </w:r>
    </w:p>
    <w:p>
      <w:r>
        <w:t>• Protein binding sites are dynamic, yet most docking tools treat them as rigid</w:t>
        <w:br/>
        <w:t>• Carlson (2002): "how to hit a moving target" — the foundational metaphor</w:t>
        <w:br/>
        <w:t>• Cavasotto &amp; Di Maccio (2024, Nature): most docking tools allow full ligand flexibility but keep the protein fixed or with only limited flexibility</w:t>
        <w:br/>
        <w:t>• Ligand flexibility is well-solved; receptor flexibility remains the bottleneck</w:t>
      </w:r>
    </w:p>
    <w:p>
      <w:pPr>
        <w:pStyle w:val="Heading2"/>
      </w:pPr>
      <w:r>
        <w:t>B. The Cross-Docking Failure Rate</w:t>
      </w:r>
    </w:p>
    <w:p>
      <w:r>
        <w:t>• Jain (2009): cognate docking &gt;75% success, cross-docking ~20% — a dramatic drop</w:t>
        <w:br/>
        <w:t>• Zhao &amp; Sanner (2007): 25/33 cross-docking failures across 4 receptors</w:t>
        <w:br/>
        <w:t>• Primary cause: side-chain conformational changes near the active site</w:t>
        <w:br/>
        <w:t>• Key question: can we predict WHICH residues will cause failure BEFORE docking?</w:t>
      </w:r>
    </w:p>
    <w:p>
      <w:pPr>
        <w:pStyle w:val="Heading2"/>
      </w:pPr>
      <w:r>
        <w:t>C. B-factors as a Potential Predictor</w:t>
      </w:r>
    </w:p>
    <w:p>
      <w:r>
        <w:t>• B-factors (crystallographic temperature factors) are freely available in every PDB file</w:t>
        <w:br/>
        <w:t>• Halip et al. (2021): BFIbs — binding site B-factor index correlates with docking RMSD across 26,019 complexes</w:t>
        <w:br/>
        <w:t>• But BFIbs treats the binding site as a whole — no residue-level resolution</w:t>
        <w:br/>
        <w:t>• Research gap: no study has tested whether individual residue B-factors predict which specific residues cause docking failures</w:t>
      </w:r>
    </w:p>
    <w:p>
      <w:pPr>
        <w:pStyle w:val="Heading2"/>
      </w:pPr>
      <w:r>
        <w:t>D. Scope and Structure</w:t>
      </w:r>
    </w:p>
    <w:p>
      <w:r>
        <w:t>• Focus: binding pose prediction (not binding affinity)</w:t>
        <w:br/>
        <w:t>• Approach: literature synthesis + computational cross-docking experiment</w:t>
        <w:br/>
        <w:t>• Paper roadmap: Background → Evidence → Experiment → Discussion → Conclusion</w:t>
      </w:r>
    </w:p>
    <w:p>
      <w:pPr>
        <w:pStyle w:val="Heading1"/>
      </w:pPr>
      <w:r>
        <w:t>II. Background: B-factors, Flexibility, and Docking</w:t>
      </w:r>
    </w:p>
    <w:p>
      <w:pPr>
        <w:pStyle w:val="Heading2"/>
      </w:pPr>
      <w:r>
        <w:t>A. What B-factors Actually Measure</w:t>
      </w:r>
    </w:p>
    <w:p>
      <w:r>
        <w:t>• Definition: atomic displacement parameters reflecting thermal motion + static disorder</w:t>
        <w:br/>
        <w:t>• Reflect backbone atom motion primarily, not side-chain dihedral changes</w:t>
        <w:br/>
        <w:t>• Zhang et al. (2010): B-factors are confounded by solvent accessibility (RSA)</w:t>
        <w:br/>
        <w:t>• Gunasekaran &amp; Nussinov (2007): flexible binding sites have higher B-factors, more loops, lower conservation — B-factor is one of several distinguishing features</w:t>
      </w:r>
    </w:p>
    <w:p>
      <w:pPr>
        <w:pStyle w:val="Heading2"/>
      </w:pPr>
      <w:r>
        <w:t>B. The Backbone-Side-Chain Decoupling Problem</w:t>
      </w:r>
    </w:p>
    <w:p>
      <w:r>
        <w:t>• Najmanovich et al. (2000): analyzed 980 apo/holo pairs</w:t>
        <w:br/>
        <w:t>• Found: NO correlation between backbone motion and side-chain flexibility</w:t>
        <w:br/>
        <w:t>• Implication: B-factors (backbone) may NOT predict the side-chain changes that cause docking failures</w:t>
        <w:br/>
        <w:t>• Amino acid flexibility scale: Lys &gt; Arg, Gln, Met &gt; ... &gt; Phe (25× difference)</w:t>
        <w:br/>
        <w:t>• This is the central tension of our paper — and we must address it head-on</w:t>
      </w:r>
    </w:p>
    <w:p>
      <w:pPr>
        <w:pStyle w:val="Heading2"/>
      </w:pPr>
      <w:r>
        <w:t>C. How Receptor Flexibility Breaks Docking</w:t>
      </w:r>
    </w:p>
    <w:p>
      <w:r>
        <w:t>• Sherman et al. (2006): rigid docking RMSD 5.5Å → IFD RMSD 1.4Å (21 cases)</w:t>
        <w:br/>
        <w:t>• Mechanism: steric clash between ligand and "wrong" side-chain conformation</w:t>
        <w:br/>
        <w:t>• Lexa &amp; Carlson (2012): comprehensive catalog of methods to handle flexibility</w:t>
        <w:br/>
        <w:t xml:space="preserve">  - Soft docking, rotamer libraries, induced fit, ensemble docking</w:t>
        <w:br/>
        <w:t>• All methods require knowing WHICH residues to make flexible — the unsolved problem</w:t>
      </w:r>
    </w:p>
    <w:p>
      <w:pPr>
        <w:pStyle w:val="Heading2"/>
      </w:pPr>
      <w:r>
        <w:t>D. Existing Solutions and Their Limitations</w:t>
      </w:r>
    </w:p>
    <w:p>
      <w:r>
        <w:t>• IFD (Sherman 2006): effective but computationally expensive, requires iterative cycles</w:t>
        <w:br/>
        <w:t>• Ensemble docking (Amaro 2018): needs multiple conformations, selection is non-trivial</w:t>
        <w:br/>
        <w:t>• FLIPDock (Zhao 2007): identifies flexible side chains via spatial overlap analysis — but requires known holo structures</w:t>
        <w:br/>
        <w:t>• Common limitation: all require prior knowledge or heavy computation</w:t>
        <w:br/>
        <w:t>• B-factors offer a zero-cost alternative — if they work</w:t>
      </w:r>
    </w:p>
    <w:p>
      <w:pPr>
        <w:pStyle w:val="Heading1"/>
      </w:pPr>
      <w:r>
        <w:t>III. Evidence: B-factors and Docking Accuracy Are Linked</w:t>
      </w:r>
    </w:p>
    <w:p>
      <w:pPr>
        <w:pStyle w:val="Heading2"/>
      </w:pPr>
      <w:r>
        <w:t>A. Binding-Site Level Evidence (BFIbs)</w:t>
      </w:r>
    </w:p>
    <w:p>
      <w:r>
        <w:t>• Halip et al. (2021): BFIbs = median B(binding site) / median B(whole protein)</w:t>
        <w:br/>
        <w:t>• Across 26,019 complexes: BFIbs is the ONLY crystallographic metric significantly correlated with docking RMSD</w:t>
        <w:br/>
        <w:t>• BFIbs &lt; 1 → most poses RMSD &lt; 2Å; BFIbs &gt; threshold → accuracy drops</w:t>
        <w:br/>
        <w:t>• Halip et al. (2025): LBI extends this to ligand B-factor ratios</w:t>
        <w:br/>
        <w:t>• Limitation: binding-site-level, not residue-level</w:t>
      </w:r>
    </w:p>
    <w:p>
      <w:pPr>
        <w:pStyle w:val="Heading2"/>
      </w:pPr>
      <w:r>
        <w:t>B. Residue-Level Evidence (Indirect)</w:t>
      </w:r>
    </w:p>
    <w:p>
      <w:r>
        <w:t>• Gunasekaran &amp; Nussinov (2007): flexible binding sites distinguished by higher B-factors</w:t>
        <w:br/>
        <w:t>• Zhao &amp; Sanner (2007): failures cluster at specific side chains near the active site</w:t>
        <w:br/>
        <w:t>• Logical bridge: if failures cluster at specific residues, and flexible residues have higher B-factors, then B-factor should predict failure location</w:t>
        <w:br/>
        <w:t>• But this logical chain has never been explicitly tested</w:t>
      </w:r>
    </w:p>
    <w:p>
      <w:pPr>
        <w:pStyle w:val="Heading2"/>
      </w:pPr>
      <w:r>
        <w:t>C. The Counter-Evidence We Must Confront</w:t>
      </w:r>
    </w:p>
    <w:p>
      <w:r>
        <w:t>• Najmanovich (2000): backbone B-factor ≠ side-chain flexibility</w:t>
        <w:br/>
        <w:t>• Nichols et al. (2011), cited in Lexa &amp; Carlson: "highly flexible sites had less utility for docking" — but used MD-derived flexibility, not B-factors</w:t>
        <w:br/>
        <w:t>• Zhang et al. (2010): B-factor confounded by solvent exposure</w:t>
        <w:br/>
        <w:t>• Our response: B-factors capture local environment dynamics, not just backbone motion; relative B-factor (vs pocket average) may be more informative than absolute value</w:t>
      </w:r>
    </w:p>
    <w:p>
      <w:pPr>
        <w:pStyle w:val="Heading1"/>
      </w:pPr>
      <w:r>
        <w:t>IV. Computational Experiment</w:t>
      </w:r>
    </w:p>
    <w:p>
      <w:pPr>
        <w:pStyle w:val="Heading2"/>
      </w:pPr>
      <w:r>
        <w:t>A. Hypothesis</w:t>
      </w:r>
    </w:p>
    <w:p>
      <w:r>
        <w:t>• H₁: Binding-site residues with higher B-factors are more likely to cause cross-docking failures when treated as rigid</w:t>
        <w:br/>
        <w:t>• H₀: B-factors have no predictive power for residue-specific docking failures</w:t>
      </w:r>
    </w:p>
    <w:p>
      <w:pPr>
        <w:pStyle w:val="Heading2"/>
      </w:pPr>
      <w:r>
        <w:t>B. Target Selection</w:t>
      </w:r>
    </w:p>
    <w:p>
      <w:r>
        <w:t>• Criteria: ≥10 holo structures with diverse ligands, moderate binding-site flexibility</w:t>
        <w:br/>
        <w:t>• Candidates: CDK2 (49+ structures), HIV protease, p38 MAPK</w:t>
        <w:br/>
        <w:t>• Rationale for final selection (to be determined after PDB survey)</w:t>
      </w:r>
    </w:p>
    <w:p>
      <w:pPr>
        <w:pStyle w:val="Heading2"/>
      </w:pPr>
      <w:r>
        <w:t>C. Methods</w:t>
      </w:r>
    </w:p>
    <w:p>
      <w:r>
        <w:t>1. Download all holo structures for selected target from PDB</w:t>
        <w:br/>
        <w:t>2. Extract per-residue B-factors for binding-site residues (within 5Å of co-crystallized ligand)</w:t>
        <w:br/>
        <w:t>3. Compute relative B-factor: B(residue) / B(pocket average)</w:t>
        <w:br/>
        <w:t>4. Cross-docking: for each pair of structures (receptor A + ligand B), run AutoDock Vina</w:t>
        <w:br/>
        <w:t>5. Calculate RMSD of docked pose vs crystal pose</w:t>
        <w:br/>
        <w:t>6. For each failed cross-dock (RMSD &gt; 2Å): identify which binding-site residues have highest B-factors</w:t>
        <w:br/>
        <w:t>7. Statistical test: correlation between per-residue B-factor and cross-docking RMSD</w:t>
      </w:r>
    </w:p>
    <w:p>
      <w:pPr>
        <w:pStyle w:val="Heading2"/>
      </w:pPr>
      <w:r>
        <w:t>D. Expected Outcomes</w:t>
      </w:r>
    </w:p>
    <w:p>
      <w:r>
        <w:t>• Scenario A: Significant positive correlation → B-factors DO predict failure residues</w:t>
        <w:br/>
        <w:t>• Scenario B: No correlation → supports Najmanovich's decoupling; B-factors are insufficient</w:t>
        <w:br/>
        <w:t>• Scenario C (most likely): Partial correlation — B-factors predict some failures but miss others (e.g., cases dominated by specific amino acid types like Lys/Arg)</w:t>
        <w:br/>
        <w:t>• Any outcome is publishable — the residue-level analysis itself is novel</w:t>
      </w:r>
    </w:p>
    <w:p>
      <w:pPr>
        <w:pStyle w:val="Heading1"/>
      </w:pPr>
      <w:r>
        <w:t>V. Discussion</w:t>
      </w:r>
    </w:p>
    <w:p>
      <w:pPr>
        <w:pStyle w:val="Heading2"/>
      </w:pPr>
      <w:r>
        <w:t>A. Interpreting the Results</w:t>
      </w:r>
    </w:p>
    <w:p>
      <w:r>
        <w:t>• If correlation exists: B-factors can be used as a pre-filter to flag problematic residues</w:t>
        <w:br/>
        <w:t>• Practical application: before rigid docking, check B-factor distribution → if highly skewed, switch to flexible methods for flagged residues only</w:t>
        <w:br/>
        <w:t>• Comparison with amino acid flexibility scale (Najmanovich 2000): does B-factor add information beyond amino acid type?</w:t>
      </w:r>
    </w:p>
    <w:p>
      <w:pPr>
        <w:pStyle w:val="Heading2"/>
      </w:pPr>
      <w:r>
        <w:t>B. Why B-factors Work (or Don't)</w:t>
      </w:r>
    </w:p>
    <w:p>
      <w:r>
        <w:t>• B-factors capture local packing density, solvent exposure, and crystal contacts</w:t>
        <w:br/>
        <w:t>• High B-factor residues tend to be in loops or at domain interfaces — exactly where conformational changes occur</w:t>
        <w:br/>
        <w:t>• But: crystal B-factor ≠ solution dynamics; crystal packing may suppress real flexibility</w:t>
        <w:br/>
        <w:t>• Comparison with MD-derived flexibility (if time permits)</w:t>
      </w:r>
    </w:p>
    <w:p>
      <w:pPr>
        <w:pStyle w:val="Heading2"/>
      </w:pPr>
      <w:r>
        <w:t>C. Limitations</w:t>
      </w:r>
    </w:p>
    <w:p>
      <w:r>
        <w:t>• B-factors reflect backbone motion, not side-chain dihedral changes (Najmanovich 2000)</w:t>
        <w:br/>
        <w:t>• Solvent accessibility confound (Zhang 2010)</w:t>
        <w:br/>
        <w:t>• Crystal packing artifacts may suppress or distort real flexibility</w:t>
        <w:br/>
        <w:t>• Single-target analysis may not generalize to all protein families</w:t>
        <w:br/>
        <w:t>• B-factor is a necessary but not sufficient predictor — amino acid type and local environment also matter</w:t>
      </w:r>
    </w:p>
    <w:p>
      <w:pPr>
        <w:pStyle w:val="Heading2"/>
      </w:pPr>
      <w:r>
        <w:t>D. Practical Implications</w:t>
      </w:r>
    </w:p>
    <w:p>
      <w:r>
        <w:t>• If validated: a simple Python script reading B-factors from PDB could triage which structures/residues need flexible treatment</w:t>
        <w:br/>
        <w:t>• Zero computational cost — no MD, no ensemble generation</w:t>
        <w:br/>
        <w:t>• Could be integrated into docking pipelines as a pre-processing step</w:t>
        <w:br/>
        <w:t>• Complementary to, not replacing, IFD or ensemble docking</w:t>
      </w:r>
    </w:p>
    <w:p>
      <w:pPr>
        <w:pStyle w:val="Heading1"/>
      </w:pPr>
      <w:r>
        <w:t>VI. Conclusion</w:t>
      </w:r>
    </w:p>
    <w:p>
      <w:r>
        <w:t>• Restate thesis: B-factors contain signal for predicting docking failures at the residue level</w:t>
        <w:br/>
        <w:t>• Summarize key evidence from literature and experiment</w:t>
        <w:br/>
        <w:t>• Acknowledge the backbone-side-chain decoupling — B-factors are imperfect but useful</w:t>
        <w:br/>
        <w:t>• Final argument: in a field that reaches for MD simulations and ensemble methods, the simplest metric (B-factor) deserves rigorous evaluation before more complex approaches</w:t>
        <w:br/>
        <w:t>• Future directions: combining B-factors with amino acid flexibility scales, machine learning approaches, extension to binding affinity prediction</w:t>
      </w:r>
    </w:p>
    <w:p>
      <w:pPr>
        <w:pStyle w:val="Heading1"/>
      </w:pPr>
      <w:r>
        <w:t>References (Key Citations)</w:t>
      </w:r>
    </w:p>
    <w:p>
      <w:pPr>
        <w:pStyle w:val="ListNumber"/>
      </w:pPr>
      <w:r>
        <w:t>Amaro, R. E., et al. (2018). Ensemble docking in drug discovery. Biophysical Journal, 114(10), 2271–2278.</w:t>
      </w:r>
    </w:p>
    <w:p>
      <w:pPr>
        <w:pStyle w:val="ListNumber"/>
      </w:pPr>
      <w:r>
        <w:t>Bottegoni, G., et al. (2009). Four-dimensional docking. Journal of Medicinal Chemistry, 52(2), 397–406.</w:t>
      </w:r>
    </w:p>
    <w:p>
      <w:pPr>
        <w:pStyle w:val="ListNumber"/>
      </w:pPr>
      <w:r>
        <w:t>Carlson, H. A. (2002). Protein flexibility and drug design: how to hit a moving target. Current Opinion in Chemical Biology, 6(4), 447–452.</w:t>
      </w:r>
    </w:p>
    <w:p>
      <w:pPr>
        <w:pStyle w:val="ListNumber"/>
      </w:pPr>
      <w:r>
        <w:t>Cavasotto, C. N., &amp; Di Maccio, E. (2024). Structure and dynamics in drug discovery. Nature, 1, 1.</w:t>
      </w:r>
    </w:p>
    <w:p>
      <w:pPr>
        <w:pStyle w:val="ListNumber"/>
      </w:pPr>
      <w:r>
        <w:t>Gunasekaran, K., &amp; Nussinov, R. (2007). How different are structurally flexible and rigid binding sites? Journal of Molecular Biology, 365(1), 257–273.</w:t>
      </w:r>
    </w:p>
    <w:p>
      <w:pPr>
        <w:pStyle w:val="ListNumber"/>
      </w:pPr>
      <w:r>
        <w:t>Halip, L., et al. (2021). The B-factor index for the binding site (BFIbs). Structural Chemistry, 32(4), 1693–1699.</w:t>
      </w:r>
    </w:p>
    <w:p>
      <w:pPr>
        <w:pStyle w:val="ListNumber"/>
      </w:pPr>
      <w:r>
        <w:t>Halip, L., et al. (2025). Ligand B-factor index (LBI). Structural Chemistry.</w:t>
      </w:r>
    </w:p>
    <w:p>
      <w:pPr>
        <w:pStyle w:val="ListNumber"/>
      </w:pPr>
      <w:r>
        <w:t>Jain, A. N. (2009). Effects of protein conformation in docking. Journal of Computer-Aided Molecular Design, 23(6), 355–374.</w:t>
      </w:r>
    </w:p>
    <w:p>
      <w:pPr>
        <w:pStyle w:val="ListNumber"/>
      </w:pPr>
      <w:r>
        <w:t>Kokh, D. B., Wade, R. C., &amp; Wenzel, W. (2011). Receptor flexibility in small-molecule docking calculations. WIREs Computational Molecular Science, 1(2), 298–314.</w:t>
      </w:r>
    </w:p>
    <w:p>
      <w:pPr>
        <w:pStyle w:val="ListNumber"/>
      </w:pPr>
      <w:r>
        <w:t>Lexa, K. W., &amp; Carlson, H. A. (2012). Protein flexibility in docking and surface mapping. Quarterly Reviews of Biophysics, 45(3), 301–343.</w:t>
      </w:r>
    </w:p>
    <w:p>
      <w:pPr>
        <w:pStyle w:val="ListNumber"/>
      </w:pPr>
      <w:r>
        <w:t>Najmanovich, R., et al. (2000). Side-chain flexibility in proteins upon ligand binding. Proteins, 39(3), 261–268.</w:t>
      </w:r>
    </w:p>
    <w:p>
      <w:pPr>
        <w:pStyle w:val="ListNumber"/>
      </w:pPr>
      <w:r>
        <w:t>Sherman, W., et al. (2006). Novel procedure for modeling ligand/receptor induced fit effects. Journal of Medicinal Chemistry, 49(2), 534–553.</w:t>
      </w:r>
    </w:p>
    <w:p>
      <w:pPr>
        <w:pStyle w:val="ListNumber"/>
      </w:pPr>
      <w:r>
        <w:t>Zhang, H., et al. (2010). On the relation between residue flexibility and local solvent accessibility in proteins. Proteins, 78(9), 2114–2130.</w:t>
      </w:r>
    </w:p>
    <w:p>
      <w:pPr>
        <w:pStyle w:val="ListNumber"/>
      </w:pPr>
      <w:r>
        <w:t>Zhao, Y., &amp; Sanner, M. F. (2007). FLIPDock. Proteins, 68, 726–737.</w:t>
      </w:r>
    </w:p>
    <w:p>
      <w:pPr>
        <w:pStyle w:val="Heading1"/>
      </w:pPr>
      <w:r>
        <w:t>Appendix: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92"/>
          </w:tcPr>
          <w:p>
            <w:r>
              <w:t>Day 1–2</w:t>
            </w:r>
          </w:p>
        </w:tc>
        <w:tc>
          <w:tcPr>
            <w:tcW w:type="dxa" w:w="4392"/>
          </w:tcPr>
          <w:p>
            <w:r>
              <w:t>Install Vina; select target protein; download holo structures from PDB</w:t>
            </w:r>
          </w:p>
        </w:tc>
      </w:tr>
      <w:tr>
        <w:tc>
          <w:tcPr>
            <w:tcW w:type="dxa" w:w="4392"/>
          </w:tcPr>
          <w:p>
            <w:r>
              <w:t>Day 3–4</w:t>
            </w:r>
          </w:p>
        </w:tc>
        <w:tc>
          <w:tcPr>
            <w:tcW w:type="dxa" w:w="4392"/>
          </w:tcPr>
          <w:p>
            <w:r>
              <w:t>Extract B-factors; set up cross-docking pipeline</w:t>
            </w:r>
          </w:p>
        </w:tc>
      </w:tr>
      <w:tr>
        <w:tc>
          <w:tcPr>
            <w:tcW w:type="dxa" w:w="4392"/>
          </w:tcPr>
          <w:p>
            <w:r>
              <w:t>Day 5–7</w:t>
            </w:r>
          </w:p>
        </w:tc>
        <w:tc>
          <w:tcPr>
            <w:tcW w:type="dxa" w:w="4392"/>
          </w:tcPr>
          <w:p>
            <w:r>
              <w:t>Run cross-docking experiments; data analysis; visualization</w:t>
            </w:r>
          </w:p>
        </w:tc>
      </w:tr>
      <w:tr>
        <w:tc>
          <w:tcPr>
            <w:tcW w:type="dxa" w:w="4392"/>
          </w:tcPr>
          <w:p>
            <w:r>
              <w:t>Day 8–10</w:t>
            </w:r>
          </w:p>
        </w:tc>
        <w:tc>
          <w:tcPr>
            <w:tcW w:type="dxa" w:w="4392"/>
          </w:tcPr>
          <w:p>
            <w:r>
              <w:t>Write paper (Introduction → Results → Discussion → Conclusion)</w:t>
            </w:r>
          </w:p>
        </w:tc>
      </w:tr>
      <w:tr>
        <w:tc>
          <w:tcPr>
            <w:tcW w:type="dxa" w:w="4392"/>
          </w:tcPr>
          <w:p>
            <w:r>
              <w:t>Day 11–12</w:t>
            </w:r>
          </w:p>
        </w:tc>
        <w:tc>
          <w:tcPr>
            <w:tcW w:type="dxa" w:w="4392"/>
          </w:tcPr>
          <w:p>
            <w:r>
              <w:t>Create presentation slides</w:t>
            </w:r>
          </w:p>
        </w:tc>
      </w:tr>
      <w:tr>
        <w:tc>
          <w:tcPr>
            <w:tcW w:type="dxa" w:w="4392"/>
          </w:tcPr>
          <w:p>
            <w:r>
              <w:t>Day 13–14</w:t>
            </w:r>
          </w:p>
        </w:tc>
        <w:tc>
          <w:tcPr>
            <w:tcW w:type="dxa" w:w="4392"/>
          </w:tcPr>
          <w:p>
            <w:r>
              <w:t>Revise paper; rehearse presentation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