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ABF5" w14:textId="77777777" w:rsidR="00936E42" w:rsidRDefault="00000000">
      <w:pPr>
        <w:spacing w:after="60"/>
        <w:jc w:val="center"/>
      </w:pPr>
      <w:r>
        <w:rPr>
          <w:b/>
          <w:bCs/>
          <w:color w:val="1A1A2E"/>
          <w:sz w:val="36"/>
          <w:szCs w:val="36"/>
        </w:rPr>
        <w:t>Checkpoint 1</w:t>
      </w:r>
    </w:p>
    <w:p w14:paraId="7DDB9850" w14:textId="77777777" w:rsidR="00936E42" w:rsidRDefault="00000000">
      <w:pPr>
        <w:spacing w:after="60"/>
        <w:jc w:val="center"/>
      </w:pPr>
      <w:r>
        <w:rPr>
          <w:i/>
          <w:iCs/>
          <w:color w:val="555555"/>
          <w:sz w:val="20"/>
          <w:szCs w:val="20"/>
        </w:rPr>
        <w:t>Group 6 — Computational Biology Final Project</w:t>
      </w:r>
    </w:p>
    <w:p w14:paraId="6C6F2BBF" w14:textId="77777777" w:rsidR="00936E42" w:rsidRDefault="00000000">
      <w:pPr>
        <w:spacing w:after="300"/>
        <w:jc w:val="center"/>
      </w:pPr>
      <w:r>
        <w:rPr>
          <w:i/>
          <w:iCs/>
          <w:color w:val="2C3E50"/>
        </w:rPr>
        <w:t>Can B-factors identify flexible binding-site residues that reduce rigid docking accuracy?</w:t>
      </w:r>
    </w:p>
    <w:p w14:paraId="7FEE33CC" w14:textId="77777777" w:rsidR="00936E42" w:rsidRDefault="00000000">
      <w:pPr>
        <w:pStyle w:val="Heading1"/>
      </w:pPr>
      <w:r>
        <w:t>1. Topic Introduction</w:t>
      </w:r>
    </w:p>
    <w:p w14:paraId="70460B39" w14:textId="77777777" w:rsidR="00936E42" w:rsidRDefault="00000000">
      <w:pPr>
        <w:spacing w:after="120"/>
      </w:pPr>
      <w:r>
        <w:t>Protein flexibility poses a fundamental challenge for rigid docking algorithms: a single crystal structure captures only one snapshot of a protein’s conformational ensemble, yet different ligands may bind to distinct conformations. Cross-docking experiments consistently reveal that success rates drop sharply when the receptor conformation differs from the one co-crystallized with the ligand. This project investigates whether crystallographic B-factors—readily available in every PDB structure—can predict which binding-site residues are flexible enough to degrade rigid docking accuracy. We further test whether B-factors can guide the selection of receptor ensembles for ensemble docking, using the B-factor Index for the binding site (BFIbs) to choose which structures to include. By comparing B-factor-guided ensemble selection against random and lowest-B-factor baselines, we evaluate whether this simple, zero-cost metric can improve pose prediction without the computational expense of molecular dynamics simulations.</w:t>
      </w:r>
    </w:p>
    <w:p w14:paraId="5B710C4A" w14:textId="77777777" w:rsidR="00936E42" w:rsidRDefault="00000000">
      <w:pPr>
        <w:pStyle w:val="ListParagraph"/>
        <w:numPr>
          <w:ilvl w:val="0"/>
          <w:numId w:val="1"/>
        </w:numPr>
        <w:spacing w:after="60"/>
      </w:pPr>
      <w:r>
        <w:rPr>
          <w:b/>
        </w:rPr>
        <w:t>PDB Survey &amp; B-factor Extraction</w:t>
      </w:r>
      <w:r>
        <w:t xml:space="preserve"> — Download all holo structures of a target protein (e.g., CDK2) from the PDB; extract per-residue B-factors for binding-site residues within 5 Å of the co-crystallized ligand; compute the B-factor Index for the binding site (BFIbs) for each structure.</w:t>
      </w:r>
    </w:p>
    <w:p w14:paraId="6C821D5B" w14:textId="77777777" w:rsidR="00936E42" w:rsidRDefault="00000000">
      <w:pPr>
        <w:pStyle w:val="ListParagraph"/>
        <w:numPr>
          <w:ilvl w:val="0"/>
          <w:numId w:val="1"/>
        </w:numPr>
        <w:spacing w:after="60"/>
      </w:pPr>
      <w:r>
        <w:rPr>
          <w:b/>
        </w:rPr>
        <w:t>Cross-Docking with AutoDock Vina</w:t>
      </w:r>
      <w:r>
        <w:t xml:space="preserve"> — For every pair of structures (receptor A + ligand B, A ≠ B), run rigid docking; measure RMSD between the docked pose and the crystal pose; classify each pair as success (RMSD &lt; 2 Å) or failure.</w:t>
      </w:r>
    </w:p>
    <w:p w14:paraId="7D932E6C" w14:textId="77777777" w:rsidR="00936E42" w:rsidRDefault="00000000">
      <w:pPr>
        <w:pStyle w:val="ListParagraph"/>
        <w:numPr>
          <w:ilvl w:val="0"/>
          <w:numId w:val="1"/>
        </w:numPr>
        <w:spacing w:after="60"/>
      </w:pPr>
      <w:r>
        <w:rPr>
          <w:b/>
        </w:rPr>
        <w:t>B-factor–Guided Ensemble Docking</w:t>
      </w:r>
      <w:r>
        <w:t xml:space="preserve"> — Select receptor ensembles using three strategies: BFIbs-guided (structures closest to BFIbs = 1), random (baseline), and lowest-B-factor (most rigid binding sites). Dock each ligand against all ensemble members, taking the best pose. Compare success rates to test whether B-factors improve ensemble selection over random.</w:t>
      </w:r>
    </w:p>
    <w:p w14:paraId="3A043F7D" w14:textId="77777777" w:rsidR="00936E42" w:rsidRDefault="00000000">
      <w:pPr>
        <w:pStyle w:val="ListParagraph"/>
        <w:numPr>
          <w:ilvl w:val="0"/>
          <w:numId w:val="1"/>
        </w:numPr>
        <w:spacing w:after="60"/>
      </w:pPr>
      <w:r>
        <w:rPr>
          <w:b/>
        </w:rPr>
        <w:t>Ensemble Optimizer Comparison</w:t>
      </w:r>
      <w:r>
        <w:t xml:space="preserve"> — Implement an iterative ensemble optimizer (De Paris et al., 2018; Bolstad &amp; Anderson, 2009) as a literature-based upper bound: cluster receptor conformations by docking-score feedback, then compare its success rate against B-factor-guided and random selection to benchmark our method.</w:t>
      </w:r>
    </w:p>
    <w:p w14:paraId="4A297C1F" w14:textId="77777777" w:rsidR="00936E42" w:rsidRDefault="00000000">
      <w:pPr>
        <w:pStyle w:val="Heading1"/>
      </w:pPr>
      <w:r>
        <w:t>2. Key References</w:t>
      </w:r>
    </w:p>
    <w:p w14:paraId="348B9930" w14:textId="77777777" w:rsidR="00936E42" w:rsidRDefault="00000000">
      <w:pPr>
        <w:pStyle w:val="ListParagraph"/>
        <w:numPr>
          <w:ilvl w:val="0"/>
          <w:numId w:val="2"/>
        </w:numPr>
        <w:spacing w:after="60"/>
      </w:pPr>
      <w:r>
        <w:rPr>
          <w:b/>
          <w:bCs/>
        </w:rPr>
        <w:t xml:space="preserve">Amaro, R. E., Baudry, J. L., Chodera, J. D., Demir, Ö., McCammon, J. A., Miao, Y., &amp; Smith, J. C. (2018). Ensemble docking in drug discovery. </w:t>
      </w:r>
      <w:r>
        <w:rPr>
          <w:i/>
          <w:iCs/>
        </w:rPr>
        <w:t>Biophysical Journal, 114</w:t>
      </w:r>
      <w:r>
        <w:t>(10), 2271–2278. https://doi.org/10.1016/j.bpj.2018.02.038</w:t>
      </w:r>
    </w:p>
    <w:p w14:paraId="6A809DCD" w14:textId="77777777" w:rsidR="00936E42" w:rsidRDefault="00000000">
      <w:pPr>
        <w:spacing w:after="160"/>
        <w:ind w:left="720"/>
      </w:pPr>
      <w:r>
        <w:t>The definitive review of ensemble docking methodology. Describes the Relaxed Complex Scheme (RCS)—generating conformational ensembles from MD trajectories—and the core challenge: ensemble selection is the critical bottleneck, not ensemble generation.</w:t>
      </w:r>
    </w:p>
    <w:p w14:paraId="6332B9BB" w14:textId="77777777" w:rsidR="00936E42" w:rsidRDefault="00000000">
      <w:pPr>
        <w:pStyle w:val="ListParagraph"/>
        <w:numPr>
          <w:ilvl w:val="0"/>
          <w:numId w:val="2"/>
        </w:numPr>
        <w:spacing w:after="60"/>
      </w:pPr>
      <w:r>
        <w:rPr>
          <w:b/>
          <w:bCs/>
        </w:rPr>
        <w:t xml:space="preserve">Halip, L., Avram, S., &amp; Neanu, C. (2021). The B-factor index for the binding site (BFIbs) to prioritize crystal protein structures for docking. </w:t>
      </w:r>
      <w:r>
        <w:rPr>
          <w:i/>
          <w:iCs/>
        </w:rPr>
        <w:t>Structural Chemistry, 32</w:t>
      </w:r>
      <w:r>
        <w:t>(4), 1693–1699. https://doi.org/10.1007/s11224-021-01720-4</w:t>
      </w:r>
    </w:p>
    <w:p w14:paraId="2C0C293B" w14:textId="77777777" w:rsidR="00936E42" w:rsidRDefault="00000000">
      <w:pPr>
        <w:spacing w:after="160"/>
        <w:ind w:left="720"/>
      </w:pPr>
      <w:r>
        <w:t>Introduces BFIbs = median(B_pocket) / median(B_protein). Across 26,019 protein–ligand complexes, BFIbs was the only crystallographic metric significantly correlated with docking RMSD. Structures with BFIbs &lt; 1 produced the best docking results (RMSD &lt; 2 Å). This is the direct methodological predecessor to our ensemble selection strategy.</w:t>
      </w:r>
    </w:p>
    <w:p w14:paraId="69967E4B" w14:textId="77777777" w:rsidR="00936E42" w:rsidRDefault="00000000">
      <w:pPr>
        <w:pStyle w:val="ListParagraph"/>
        <w:numPr>
          <w:ilvl w:val="0"/>
          <w:numId w:val="2"/>
        </w:numPr>
        <w:spacing w:after="60"/>
      </w:pPr>
      <w:r>
        <w:rPr>
          <w:b/>
          <w:bCs/>
        </w:rPr>
        <w:t xml:space="preserve">Korb, O., Olsson, T. S. G., Bowden, S. J., Hall, R. J., Verdonk, M. L., Liebeschuetz, J. W., &amp; Cole, J. C. (2012). Potential and limitations of ensemble docking. </w:t>
      </w:r>
      <w:r>
        <w:rPr>
          <w:i/>
          <w:iCs/>
        </w:rPr>
        <w:t>Journal of Chemical Information and Modeling, 52</w:t>
      </w:r>
      <w:r>
        <w:t>(5), 1292–1304. https://doi.org/10.1021/ci300064d</w:t>
      </w:r>
    </w:p>
    <w:p w14:paraId="4D77F67C" w14:textId="77777777" w:rsidR="00936E42" w:rsidRDefault="00000000">
      <w:pPr>
        <w:spacing w:after="160"/>
        <w:ind w:left="720"/>
      </w:pPr>
      <w:r>
        <w:t>Large-scale systematic evaluation: 8 targets, 500,000 receptor combinations. Key finding: most randomly assembled ensembles do not improve enrichment over single-structure docking. Ensemble selection matters more than ensemble size—validating our hypothesis that a principled selection strategy (B-factor) should outperform random.</w:t>
      </w:r>
    </w:p>
    <w:p w14:paraId="0E37DAD3" w14:textId="77777777" w:rsidR="00936E42" w:rsidRDefault="00000000">
      <w:pPr>
        <w:pStyle w:val="ListParagraph"/>
        <w:numPr>
          <w:ilvl w:val="0"/>
          <w:numId w:val="2"/>
        </w:numPr>
        <w:spacing w:after="60"/>
      </w:pPr>
      <w:r>
        <w:rPr>
          <w:b/>
          <w:bCs/>
        </w:rPr>
        <w:t xml:space="preserve">Palacio-Rodríguez, K., Lans, I., &amp; Cavasotto, C. N. (2019). Exponential consensus ranking improves the outcome in docking and receptor ensemble docking. </w:t>
      </w:r>
      <w:r>
        <w:rPr>
          <w:i/>
          <w:iCs/>
        </w:rPr>
        <w:t>Scientific Reports, 9</w:t>
      </w:r>
      <w:r>
        <w:t>, 5142. https://doi.org/10.1038/s41598-019-41594-3</w:t>
      </w:r>
    </w:p>
    <w:p w14:paraId="0FD29A16" w14:textId="77777777" w:rsidR="00936E42" w:rsidRDefault="00000000">
      <w:pPr>
        <w:spacing w:after="160"/>
        <w:ind w:left="720"/>
      </w:pPr>
      <w:r>
        <w:lastRenderedPageBreak/>
        <w:t>Proposes Exponential Consensus Ranking (ECR) for integrating multi-structure docking results. Demonstrates that ensemble docking + consensus ranking consistently outperforms single-structure docking across 4 diverse targets (CDK2, ESR1, CAH2, ADRB2). Provides a principled framework for how to combine results once an ensemble is selected.</w:t>
      </w:r>
    </w:p>
    <w:p w14:paraId="1D6DF1C5" w14:textId="77777777" w:rsidR="00936E42" w:rsidRDefault="00000000">
      <w:pPr>
        <w:pStyle w:val="ListParagraph"/>
        <w:numPr>
          <w:ilvl w:val="0"/>
          <w:numId w:val="2"/>
        </w:numPr>
        <w:spacing w:after="60"/>
      </w:pPr>
      <w:r>
        <w:rPr>
          <w:b/>
          <w:bCs/>
        </w:rPr>
        <w:t xml:space="preserve">Bottegoni, G., Kufareva, I., Totrov, M., &amp; Abagyan, R. (2009). Four-dimensional docking: A fast and accurate account of discrete receptor flexibility in ligand docking. </w:t>
      </w:r>
      <w:r>
        <w:rPr>
          <w:i/>
          <w:iCs/>
        </w:rPr>
        <w:t>Journal of Medicinal Chemistry, 52</w:t>
      </w:r>
      <w:r>
        <w:t>(2), 397–406. https://doi.org/10.1021/jm8009958</w:t>
      </w:r>
    </w:p>
    <w:p w14:paraId="1DE0D9C0" w14:textId="77777777" w:rsidR="00936E42" w:rsidRDefault="00000000">
      <w:pPr>
        <w:spacing w:after="160"/>
        <w:ind w:left="720"/>
      </w:pPr>
      <w:r>
        <w:t>Treats receptor conformations as a fourth dimension, achieving ~4× speedup over traditional ensemble docking while maintaining accuracy on 99 proteins and 300 ligands. Demonstrates that the sampling algorithm, not just ensemble composition, governs success.</w:t>
      </w:r>
    </w:p>
    <w:p w14:paraId="560E63A7" w14:textId="77777777" w:rsidR="00936E42" w:rsidRDefault="00000000">
      <w:pPr>
        <w:pStyle w:val="ListParagraph"/>
        <w:numPr>
          <w:ilvl w:val="0"/>
          <w:numId w:val="2"/>
        </w:numPr>
        <w:spacing w:after="60"/>
      </w:pPr>
      <w:r>
        <w:rPr>
          <w:b/>
          <w:bCs/>
        </w:rPr>
        <w:t xml:space="preserve">Rao, S., Sanschagrin, P. C., Greenwood, J. R., Repasky, M. P., Sherman, W., &amp; Farid, R. (2008). Improving database enrichment through ensemble docking. </w:t>
      </w:r>
      <w:r>
        <w:rPr>
          <w:i/>
          <w:iCs/>
        </w:rPr>
        <w:t>Journal of Computer-Aided Molecular Design, 22</w:t>
      </w:r>
      <w:r>
        <w:t>(9), 657–663. https://doi.org/10.1007/s10822-008-9163-6</w:t>
      </w:r>
    </w:p>
    <w:p w14:paraId="0111F3C2" w14:textId="77777777" w:rsidR="00936E42" w:rsidRDefault="00000000">
      <w:pPr>
        <w:spacing w:after="160"/>
        <w:ind w:left="720"/>
      </w:pPr>
      <w:r>
        <w:t>Demonstrated that 2–3 well-chosen receptor structures in an ensemble can match or exceed performance of larger ensembles. Proposed an ensemble selection strategy based on average GlideScore of top-ranked ligands, without requiring known actives.</w:t>
      </w:r>
    </w:p>
    <w:p w14:paraId="28C11725" w14:textId="77777777" w:rsidR="00936E42" w:rsidRDefault="00000000">
      <w:pPr>
        <w:pStyle w:val="ListParagraph"/>
        <w:numPr>
          <w:ilvl w:val="0"/>
          <w:numId w:val="2"/>
        </w:numPr>
        <w:spacing w:after="60"/>
      </w:pPr>
      <w:r>
        <w:rPr>
          <w:b/>
          <w:bCs/>
        </w:rPr>
        <w:t xml:space="preserve">Najmanovich, R., Kuttner, J., Sobolev, V., &amp; Edelman, M. (2000). Side-chain flexibility in proteins upon ligand binding. </w:t>
      </w:r>
      <w:r>
        <w:rPr>
          <w:i/>
          <w:iCs/>
        </w:rPr>
        <w:t>Proteins: Structure, Function, and Bioinformatics, 39</w:t>
      </w:r>
      <w:r>
        <w:t>(3), 261–268. https://doi.org/10.1002/(SICI)1097-0134(20000515)39:3&lt;261::AID-PROT90&gt;3.0.CO;2-4</w:t>
      </w:r>
    </w:p>
    <w:p w14:paraId="12A1ACBA" w14:textId="77777777" w:rsidR="00936E42" w:rsidRDefault="00000000">
      <w:pPr>
        <w:spacing w:after="300"/>
        <w:ind w:left="720"/>
      </w:pPr>
      <w:r>
        <w:t>Found that backbone motions and side-chain rotations are decoupled—a fundamental limitation for using B-factors (which primarily reflect backbone motion) to predict side-chain flexibility. This is the most important counter-argument to our hypothesis.</w:t>
      </w:r>
    </w:p>
    <w:p w14:paraId="4B154F8E" w14:textId="77777777" w:rsidR="00936E42" w:rsidRDefault="00000000">
      <w:pPr>
        <w:pStyle w:val="ListParagraph"/>
        <w:numPr>
          <w:ilvl w:val="0"/>
          <w:numId w:val="2"/>
        </w:numPr>
        <w:spacing w:after="60"/>
      </w:pPr>
      <w:r>
        <w:rPr>
          <w:b/>
          <w:bCs/>
        </w:rPr>
        <w:t xml:space="preserve">De Paris, R., Vahl Quevedo, C., Ruiz, D. D., Gargano, F., &amp; de Souza, O. N. (2018). A selective method for optimizing ensemble docking-based experiments on an InhA fully-flexible receptor model. </w:t>
      </w:r>
      <w:r>
        <w:rPr>
          <w:i/>
          <w:iCs/>
        </w:rPr>
        <w:t>BMC Bioinformatics, 19</w:t>
      </w:r>
      <w:r>
        <w:t>, 235. https://doi.org/10.1186/s12859-018-2228-9</w:t>
      </w:r>
    </w:p>
    <w:p w14:paraId="0A265F9F" w14:textId="77777777" w:rsidR="00936E42" w:rsidRDefault="00000000">
      <w:pPr>
        <w:spacing w:after="160"/>
        <w:ind w:left="720"/>
      </w:pPr>
      <w:r>
        <w:t>Proposes a hierarchical clustering strategy for ensemble selection using docking-score feedback—an iterative optimizer that picks conformations based on how well they dock, rather than structural similarity alone. Serves as the literature benchmark for ensemble optimization.</w:t>
      </w:r>
    </w:p>
    <w:p w14:paraId="1B376F0F" w14:textId="77777777" w:rsidR="00936E42" w:rsidRDefault="00000000">
      <w:pPr>
        <w:pStyle w:val="ListParagraph"/>
        <w:numPr>
          <w:ilvl w:val="0"/>
          <w:numId w:val="2"/>
        </w:numPr>
        <w:spacing w:after="60"/>
      </w:pPr>
      <w:r>
        <w:rPr>
          <w:b/>
          <w:bCs/>
        </w:rPr>
        <w:t xml:space="preserve">Bolstad, A. C., &amp; Anderson, A. C. (2009). In pursuit of virtual lead optimization: Pruning ensembles of receptor structures for increased efficiency and accuracy during docking. </w:t>
      </w:r>
      <w:r>
        <w:rPr>
          <w:i/>
          <w:iCs/>
        </w:rPr>
        <w:t>Journal of Computer-Aided Molecular Design, 23</w:t>
      </w:r>
      <w:r>
        <w:t>(11), 755–763. https://doi.org/10.1007/s10822-009-9220-9</w:t>
      </w:r>
    </w:p>
    <w:p w14:paraId="2C487F10" w14:textId="77777777" w:rsidR="00936E42" w:rsidRDefault="00000000">
      <w:pPr>
        <w:spacing w:after="300"/>
        <w:ind w:left="720"/>
      </w:pPr>
      <w:r>
        <w:t>Introduces a relative-distance-based pruning method that retains ensemble members whose active-site core geometry best preserves the conserved ligand-binding pharmacophore. Demonstrates that geometric pruning can match the accuracy of full ensembles at a fraction of the computational cost.</w:t>
      </w:r>
    </w:p>
    <w:p w14:paraId="5F6C2915" w14:textId="77777777" w:rsidR="00936E42" w:rsidRDefault="00000000">
      <w:pPr>
        <w:pStyle w:val="Heading1"/>
      </w:pPr>
      <w:r>
        <w:t>3. Major Blocks &amp; Challenges</w:t>
      </w:r>
    </w:p>
    <w:p w14:paraId="5370F417" w14:textId="77777777" w:rsidR="00936E42" w:rsidRDefault="00000000">
      <w:pPr>
        <w:spacing w:after="80"/>
      </w:pPr>
      <w:r>
        <w:t>The following challenges represent the most significant obstacles we anticipate, prioritized by risk to the project’s core claims.</w:t>
      </w:r>
    </w:p>
    <w:p w14:paraId="2F50F657" w14:textId="77777777" w:rsidR="00936E42" w:rsidRDefault="00000000">
      <w:pPr>
        <w:pStyle w:val="Heading2"/>
      </w:pPr>
      <w:r>
        <w:t>3.1 Backbone–Sidechain Decoupling (Highest Risk)</w:t>
      </w:r>
    </w:p>
    <w:p w14:paraId="5007353B" w14:textId="77777777" w:rsidR="00936E42" w:rsidRDefault="00000000">
      <w:pPr>
        <w:spacing w:after="120"/>
      </w:pPr>
      <w:r>
        <w:t>Najmanovich et al. (2000) demonstrated that backbone motion (what B-factors primarily measure) and side-chain rotation (what actually gatekeeps ligand access) are statistically unrelated. A residue could have a low backbone B-factor but a rotatable side-chain that blocks the pocket, or vice versa. This means B-factors may have fundamentally limited predictive power for docking accuracy. The ensemble approach partially mitigates this by sampling multiple backbone conformations, but does not eliminate it. Our analysis should separately examine residues where side-chain flexibility is known to matter (e.g., gatekeeper residues in kinases) vs. backbone-only motion.</w:t>
      </w:r>
    </w:p>
    <w:p w14:paraId="3F91F92B" w14:textId="77777777" w:rsidR="00936E42" w:rsidRDefault="00000000">
      <w:pPr>
        <w:pStyle w:val="Heading2"/>
      </w:pPr>
      <w:r>
        <w:t>3.2 Target Selection Determines Signal-to-Noise</w:t>
      </w:r>
    </w:p>
    <w:p w14:paraId="5E10AD34" w14:textId="77777777" w:rsidR="00936E42" w:rsidRDefault="00000000">
      <w:pPr>
        <w:spacing w:after="120"/>
      </w:pPr>
      <w:r>
        <w:t xml:space="preserve">The entire experiment depends on selecting a protein with enough structural diversity in the PDB. CDK2 (our default candidate) has ~50 holo structures, but the conformational range might be narrow if most structures were solved with similar inhibitors. A target with too little flexibility </w:t>
        <w:lastRenderedPageBreak/>
        <w:t>produces a ceiling effect (all docking succeeds, no signal). A target with too much flexibility (e.g., HIV protease) may produce a floor effect (all docking fails). We must run the PDB survey, compute pairwise RMSD between structures, and validate that conformational diversity exists before committing to a target.</w:t>
      </w:r>
    </w:p>
    <w:p w14:paraId="40D181C7" w14:textId="77777777" w:rsidR="00936E42" w:rsidRDefault="00000000">
      <w:pPr>
        <w:pStyle w:val="Heading2"/>
      </w:pPr>
      <w:r>
        <w:t>3.3 Statistical Power with Small Ensembles</w:t>
      </w:r>
    </w:p>
    <w:p w14:paraId="406C799F" w14:textId="77777777" w:rsidR="00936E42" w:rsidRDefault="00000000">
      <w:pPr>
        <w:spacing w:after="120"/>
      </w:pPr>
      <w:r>
        <w:t>With ~10–20 structures, the number of cross-docking pairs grows combinatorially, but the effective sample size is limited by structural diversity. If only 5 structures are truly conformationally distinct, BFIbs-based selection is choosing from at most 5 meaningfully different options—making it difficult to achieve statistical significance over random selection. We will report effect sizes and confidence intervals alongside p-values, and emphasize qualitative trends and consistency across ensemble sizes rather than relying solely on statistical significance.</w:t>
      </w:r>
    </w:p>
    <w:p w14:paraId="1C82A9CC" w14:textId="77777777" w:rsidR="00936E42" w:rsidRDefault="00000000">
      <w:pPr>
        <w:pStyle w:val="Heading2"/>
      </w:pPr>
      <w:r>
        <w:t>3.4 AutoDock Vina’s Limitations</w:t>
      </w:r>
    </w:p>
    <w:p w14:paraId="5BB8B333" w14:textId="77777777" w:rsidR="00936E42" w:rsidRDefault="00000000">
      <w:pPr>
        <w:spacing w:after="120"/>
      </w:pPr>
      <w:r>
        <w:t>AutoDock Vina is faster but systematically less accurate than gold-standard docking engines (Glide, GOLD, ICM). Its scoring function may not be sensitive enough to detect the subtle conformational effects we study, potentially washing out real B-factor–RMSD correlations. Korb et al. (2012) showed that scoring function quality is a dominant factor in ensemble docking performance. We will cross-validate with a second scoring function if time permits, and acknowledge this as a limitation. Using Vina also means we cannot claim our conclusions generalize to all docking engines.</w:t>
      </w:r>
    </w:p>
    <w:p w14:paraId="57BF9F4A" w14:textId="77777777" w:rsidR="00936E42" w:rsidRDefault="00000000">
      <w:pPr>
        <w:pStyle w:val="Heading2"/>
      </w:pPr>
      <w:r>
        <w:t>3.5 Correlational vs. Causal Claims</w:t>
      </w:r>
    </w:p>
    <w:p w14:paraId="6D4ECC12" w14:textId="77777777" w:rsidR="00936E42" w:rsidRDefault="00000000">
      <w:pPr>
        <w:spacing w:after="120"/>
      </w:pPr>
      <w:r>
        <w:t>The strongest claim we can make is correlational—“B-factors correlate with docking accuracy.” The causal claim (“B-factors predict docking accuracy because they measure flexibility”) requires ruling out confounding variables: resolution bias (B-factors are resolution-dependent), crystal packing artifacts (B-factors reflect crystal contacts, not solution behavior), and ligand effects (co-crystallized ligands themselves affect local B-factors). We mitigate this by normalizing B-factors relative to protein-wide averages (which BFIbs already does), checking whether BFIbs correlates with resolution in our dataset, and explicitly distinguishing correlation from causation throughout the paper.</w:t>
      </w:r>
    </w:p>
    <w:p w14:paraId="12404C4E" w14:textId="77777777" w:rsidR="00ED307D" w:rsidRDefault="00ED307D">
      <w:pPr>
        <w:spacing w:after="120"/>
      </w:pPr>
    </w:p>
    <w:p w14:paraId="0E2CFAA5" w14:textId="0199F66B" w:rsidR="00ED307D" w:rsidRDefault="00ED307D" w:rsidP="00B202BD">
      <w:pPr>
        <w:pStyle w:val="Heading1"/>
      </w:pPr>
      <w:r>
        <w:rPr>
          <w:rFonts w:hint="eastAsia"/>
        </w:rPr>
        <w:t>4. Work split</w:t>
      </w:r>
    </w:p>
    <w:tbl>
      <w:tblPr>
        <w:tblStyle w:val="TableGrid"/>
        <w:tblW w:w="0" w:type="auto"/>
        <w:tblLook w:val="04A0" w:firstRow="1" w:lastRow="0" w:firstColumn="1" w:lastColumn="0" w:noHBand="0" w:noVBand="1"/>
      </w:tblPr>
      <w:tblGrid>
        <w:gridCol w:w="4675"/>
        <w:gridCol w:w="4675"/>
      </w:tblGrid>
      <w:tr w:rsidR="00ED307D" w14:paraId="0F94A107" w14:textId="77777777" w:rsidTr="00ED307D">
        <w:tc>
          <w:tcPr>
            <w:tcW w:w="4675" w:type="dxa"/>
          </w:tcPr>
          <w:p w14:paraId="7329B28E" w14:textId="42EC9C27" w:rsidR="00ED307D" w:rsidRDefault="00ED307D">
            <w:pPr>
              <w:spacing w:after="120"/>
              <w:rPr>
                <w:rFonts w:hint="eastAsia"/>
              </w:rPr>
            </w:pPr>
            <w:r>
              <w:t>N</w:t>
            </w:r>
            <w:r>
              <w:rPr>
                <w:rFonts w:hint="eastAsia"/>
              </w:rPr>
              <w:t>ame</w:t>
            </w:r>
          </w:p>
        </w:tc>
        <w:tc>
          <w:tcPr>
            <w:tcW w:w="4675" w:type="dxa"/>
          </w:tcPr>
          <w:p w14:paraId="21B3F397" w14:textId="1D999FB0" w:rsidR="00ED307D" w:rsidRDefault="00ED307D">
            <w:pPr>
              <w:spacing w:after="120"/>
              <w:rPr>
                <w:rFonts w:hint="eastAsia"/>
              </w:rPr>
            </w:pPr>
            <w:r>
              <w:rPr>
                <w:rFonts w:hint="eastAsia"/>
              </w:rPr>
              <w:t>Percent</w:t>
            </w:r>
          </w:p>
        </w:tc>
      </w:tr>
      <w:tr w:rsidR="00ED307D" w14:paraId="3B257BAC" w14:textId="77777777" w:rsidTr="00ED307D">
        <w:tc>
          <w:tcPr>
            <w:tcW w:w="4675" w:type="dxa"/>
          </w:tcPr>
          <w:p w14:paraId="53F253B9" w14:textId="1E93580C" w:rsidR="00ED307D" w:rsidRDefault="00ED307D">
            <w:pPr>
              <w:spacing w:after="120"/>
              <w:rPr>
                <w:rFonts w:hint="eastAsia"/>
              </w:rPr>
            </w:pPr>
            <w:r>
              <w:rPr>
                <w:rFonts w:hint="eastAsia"/>
              </w:rPr>
              <w:t>Lucas</w:t>
            </w:r>
          </w:p>
        </w:tc>
        <w:tc>
          <w:tcPr>
            <w:tcW w:w="4675" w:type="dxa"/>
          </w:tcPr>
          <w:p w14:paraId="1282B34E" w14:textId="3545558B" w:rsidR="00ED307D" w:rsidRDefault="00ED307D">
            <w:pPr>
              <w:spacing w:after="120"/>
              <w:rPr>
                <w:rFonts w:hint="eastAsia"/>
              </w:rPr>
            </w:pPr>
            <w:r>
              <w:rPr>
                <w:rFonts w:hint="eastAsia"/>
              </w:rPr>
              <w:t>40</w:t>
            </w:r>
          </w:p>
        </w:tc>
      </w:tr>
      <w:tr w:rsidR="00ED307D" w14:paraId="68DD4F48" w14:textId="77777777" w:rsidTr="00ED307D">
        <w:tc>
          <w:tcPr>
            <w:tcW w:w="4675" w:type="dxa"/>
          </w:tcPr>
          <w:p w14:paraId="28064223" w14:textId="139EA806" w:rsidR="00ED307D" w:rsidRDefault="00ED307D">
            <w:pPr>
              <w:spacing w:after="120"/>
              <w:rPr>
                <w:rFonts w:hint="eastAsia"/>
              </w:rPr>
            </w:pPr>
            <w:r>
              <w:rPr>
                <w:rFonts w:hint="eastAsia"/>
              </w:rPr>
              <w:t>James</w:t>
            </w:r>
          </w:p>
        </w:tc>
        <w:tc>
          <w:tcPr>
            <w:tcW w:w="4675" w:type="dxa"/>
          </w:tcPr>
          <w:p w14:paraId="13240B97" w14:textId="6329F59F" w:rsidR="00ED307D" w:rsidRDefault="00ED307D">
            <w:pPr>
              <w:spacing w:after="120"/>
              <w:rPr>
                <w:rFonts w:hint="eastAsia"/>
              </w:rPr>
            </w:pPr>
            <w:r>
              <w:rPr>
                <w:rFonts w:hint="eastAsia"/>
              </w:rPr>
              <w:t>40</w:t>
            </w:r>
          </w:p>
        </w:tc>
      </w:tr>
      <w:tr w:rsidR="00ED307D" w14:paraId="44905950" w14:textId="77777777" w:rsidTr="00ED307D">
        <w:tc>
          <w:tcPr>
            <w:tcW w:w="4675" w:type="dxa"/>
          </w:tcPr>
          <w:p w14:paraId="0D377C8A" w14:textId="3EB6FCE0" w:rsidR="00ED307D" w:rsidRDefault="00ED307D">
            <w:pPr>
              <w:spacing w:after="120"/>
              <w:rPr>
                <w:rFonts w:hint="eastAsia"/>
              </w:rPr>
            </w:pPr>
            <w:r>
              <w:rPr>
                <w:rFonts w:hint="eastAsia"/>
              </w:rPr>
              <w:t>Lola</w:t>
            </w:r>
          </w:p>
        </w:tc>
        <w:tc>
          <w:tcPr>
            <w:tcW w:w="4675" w:type="dxa"/>
          </w:tcPr>
          <w:p w14:paraId="24B16585" w14:textId="0C1F02CA" w:rsidR="00ED307D" w:rsidRDefault="00ED307D">
            <w:pPr>
              <w:spacing w:after="120"/>
              <w:rPr>
                <w:rFonts w:hint="eastAsia"/>
              </w:rPr>
            </w:pPr>
            <w:r>
              <w:rPr>
                <w:rFonts w:hint="eastAsia"/>
              </w:rPr>
              <w:t>10</w:t>
            </w:r>
          </w:p>
        </w:tc>
      </w:tr>
      <w:tr w:rsidR="00ED307D" w14:paraId="4DEDB335" w14:textId="77777777" w:rsidTr="00ED307D">
        <w:tc>
          <w:tcPr>
            <w:tcW w:w="4675" w:type="dxa"/>
          </w:tcPr>
          <w:p w14:paraId="70BF1C2A" w14:textId="0EB89075" w:rsidR="00ED307D" w:rsidRDefault="00ED307D">
            <w:pPr>
              <w:spacing w:after="120"/>
              <w:rPr>
                <w:rFonts w:hint="eastAsia"/>
              </w:rPr>
            </w:pPr>
            <w:r>
              <w:rPr>
                <w:rFonts w:hint="eastAsia"/>
              </w:rPr>
              <w:t>Emily</w:t>
            </w:r>
          </w:p>
        </w:tc>
        <w:tc>
          <w:tcPr>
            <w:tcW w:w="4675" w:type="dxa"/>
          </w:tcPr>
          <w:p w14:paraId="6EA869BF" w14:textId="43831B8A" w:rsidR="00ED307D" w:rsidRDefault="00ED307D">
            <w:pPr>
              <w:spacing w:after="120"/>
              <w:rPr>
                <w:rFonts w:hint="eastAsia"/>
              </w:rPr>
            </w:pPr>
            <w:r>
              <w:rPr>
                <w:rFonts w:hint="eastAsia"/>
              </w:rPr>
              <w:t>10</w:t>
            </w:r>
          </w:p>
        </w:tc>
      </w:tr>
    </w:tbl>
    <w:p w14:paraId="30684932" w14:textId="69633DD8" w:rsidR="00ED307D" w:rsidRDefault="00ED307D">
      <w:pPr>
        <w:spacing w:after="120"/>
        <w:rPr>
          <w:rFonts w:hint="eastAsia"/>
        </w:rPr>
      </w:pPr>
    </w:p>
    <w:sectPr w:rsidR="00ED307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C387F"/>
    <w:multiLevelType w:val="hybridMultilevel"/>
    <w:tmpl w:val="5B229FCE"/>
    <w:lvl w:ilvl="0" w:tplc="2B10906C">
      <w:start w:val="1"/>
      <w:numFmt w:val="decimal"/>
      <w:lvlText w:val="%1."/>
      <w:lvlJc w:val="left"/>
      <w:pPr>
        <w:ind w:left="720" w:hanging="360"/>
      </w:pPr>
    </w:lvl>
    <w:lvl w:ilvl="1" w:tplc="0010E1F4">
      <w:numFmt w:val="decimal"/>
      <w:lvlText w:val=""/>
      <w:lvlJc w:val="left"/>
    </w:lvl>
    <w:lvl w:ilvl="2" w:tplc="F81E28D2">
      <w:numFmt w:val="decimal"/>
      <w:lvlText w:val=""/>
      <w:lvlJc w:val="left"/>
    </w:lvl>
    <w:lvl w:ilvl="3" w:tplc="6088B446">
      <w:numFmt w:val="decimal"/>
      <w:lvlText w:val=""/>
      <w:lvlJc w:val="left"/>
    </w:lvl>
    <w:lvl w:ilvl="4" w:tplc="88D85494">
      <w:numFmt w:val="decimal"/>
      <w:lvlText w:val=""/>
      <w:lvlJc w:val="left"/>
    </w:lvl>
    <w:lvl w:ilvl="5" w:tplc="25021C1E">
      <w:numFmt w:val="decimal"/>
      <w:lvlText w:val=""/>
      <w:lvlJc w:val="left"/>
    </w:lvl>
    <w:lvl w:ilvl="6" w:tplc="1FB00896">
      <w:numFmt w:val="decimal"/>
      <w:lvlText w:val=""/>
      <w:lvlJc w:val="left"/>
    </w:lvl>
    <w:lvl w:ilvl="7" w:tplc="CAFA6ABE">
      <w:numFmt w:val="decimal"/>
      <w:lvlText w:val=""/>
      <w:lvlJc w:val="left"/>
    </w:lvl>
    <w:lvl w:ilvl="8" w:tplc="7298D21C">
      <w:numFmt w:val="decimal"/>
      <w:lvlText w:val=""/>
      <w:lvlJc w:val="left"/>
    </w:lvl>
  </w:abstractNum>
  <w:abstractNum w:abstractNumId="1" w15:restartNumberingAfterBreak="0">
    <w:nsid w:val="4B1C2F1B"/>
    <w:multiLevelType w:val="hybridMultilevel"/>
    <w:tmpl w:val="C64CDD66"/>
    <w:lvl w:ilvl="0" w:tplc="17EC09D4">
      <w:start w:val="1"/>
      <w:numFmt w:val="bullet"/>
      <w:lvlText w:val="●"/>
      <w:lvlJc w:val="left"/>
      <w:pPr>
        <w:ind w:left="720" w:hanging="360"/>
      </w:pPr>
    </w:lvl>
    <w:lvl w:ilvl="1" w:tplc="640EC8D2">
      <w:start w:val="1"/>
      <w:numFmt w:val="bullet"/>
      <w:lvlText w:val="○"/>
      <w:lvlJc w:val="left"/>
      <w:pPr>
        <w:ind w:left="1440" w:hanging="360"/>
      </w:pPr>
    </w:lvl>
    <w:lvl w:ilvl="2" w:tplc="94BEB39E">
      <w:start w:val="1"/>
      <w:numFmt w:val="bullet"/>
      <w:lvlText w:val="■"/>
      <w:lvlJc w:val="left"/>
      <w:pPr>
        <w:ind w:left="2160" w:hanging="360"/>
      </w:pPr>
    </w:lvl>
    <w:lvl w:ilvl="3" w:tplc="537AD80C">
      <w:start w:val="1"/>
      <w:numFmt w:val="bullet"/>
      <w:lvlText w:val="●"/>
      <w:lvlJc w:val="left"/>
      <w:pPr>
        <w:ind w:left="2880" w:hanging="360"/>
      </w:pPr>
    </w:lvl>
    <w:lvl w:ilvl="4" w:tplc="E5DA5ECE">
      <w:start w:val="1"/>
      <w:numFmt w:val="bullet"/>
      <w:lvlText w:val="○"/>
      <w:lvlJc w:val="left"/>
      <w:pPr>
        <w:ind w:left="3600" w:hanging="360"/>
      </w:pPr>
    </w:lvl>
    <w:lvl w:ilvl="5" w:tplc="99B06924">
      <w:start w:val="1"/>
      <w:numFmt w:val="bullet"/>
      <w:lvlText w:val="■"/>
      <w:lvlJc w:val="left"/>
      <w:pPr>
        <w:ind w:left="4320" w:hanging="360"/>
      </w:pPr>
    </w:lvl>
    <w:lvl w:ilvl="6" w:tplc="00FAC744">
      <w:start w:val="1"/>
      <w:numFmt w:val="bullet"/>
      <w:lvlText w:val="●"/>
      <w:lvlJc w:val="left"/>
      <w:pPr>
        <w:ind w:left="5040" w:hanging="360"/>
      </w:pPr>
    </w:lvl>
    <w:lvl w:ilvl="7" w:tplc="F4286D62">
      <w:start w:val="1"/>
      <w:numFmt w:val="bullet"/>
      <w:lvlText w:val="●"/>
      <w:lvlJc w:val="left"/>
      <w:pPr>
        <w:ind w:left="5760" w:hanging="360"/>
      </w:pPr>
    </w:lvl>
    <w:lvl w:ilvl="8" w:tplc="9FEE101A">
      <w:start w:val="1"/>
      <w:numFmt w:val="bullet"/>
      <w:lvlText w:val="●"/>
      <w:lvlJc w:val="left"/>
      <w:pPr>
        <w:ind w:left="6480" w:hanging="360"/>
      </w:pPr>
    </w:lvl>
  </w:abstractNum>
  <w:abstractNum w:abstractNumId="2" w15:restartNumberingAfterBreak="0">
    <w:nsid w:val="69651FA3"/>
    <w:multiLevelType w:val="hybridMultilevel"/>
    <w:tmpl w:val="BC56C30A"/>
    <w:lvl w:ilvl="0" w:tplc="DC6A87AE">
      <w:start w:val="1"/>
      <w:numFmt w:val="bullet"/>
      <w:lvlText w:val="•"/>
      <w:lvlJc w:val="left"/>
      <w:pPr>
        <w:ind w:left="720" w:hanging="360"/>
      </w:pPr>
    </w:lvl>
    <w:lvl w:ilvl="1" w:tplc="83584C38">
      <w:numFmt w:val="decimal"/>
      <w:lvlText w:val=""/>
      <w:lvlJc w:val="left"/>
    </w:lvl>
    <w:lvl w:ilvl="2" w:tplc="50925486">
      <w:numFmt w:val="decimal"/>
      <w:lvlText w:val=""/>
      <w:lvlJc w:val="left"/>
    </w:lvl>
    <w:lvl w:ilvl="3" w:tplc="FDD8FA04">
      <w:numFmt w:val="decimal"/>
      <w:lvlText w:val=""/>
      <w:lvlJc w:val="left"/>
    </w:lvl>
    <w:lvl w:ilvl="4" w:tplc="34A897A0">
      <w:numFmt w:val="decimal"/>
      <w:lvlText w:val=""/>
      <w:lvlJc w:val="left"/>
    </w:lvl>
    <w:lvl w:ilvl="5" w:tplc="6DEC89E0">
      <w:numFmt w:val="decimal"/>
      <w:lvlText w:val=""/>
      <w:lvlJc w:val="left"/>
    </w:lvl>
    <w:lvl w:ilvl="6" w:tplc="F7901178">
      <w:numFmt w:val="decimal"/>
      <w:lvlText w:val=""/>
      <w:lvlJc w:val="left"/>
    </w:lvl>
    <w:lvl w:ilvl="7" w:tplc="7B087C52">
      <w:numFmt w:val="decimal"/>
      <w:lvlText w:val=""/>
      <w:lvlJc w:val="left"/>
    </w:lvl>
    <w:lvl w:ilvl="8" w:tplc="D28E43D6">
      <w:numFmt w:val="decimal"/>
      <w:lvlText w:val=""/>
      <w:lvlJc w:val="left"/>
    </w:lvl>
  </w:abstractNum>
  <w:num w:numId="1" w16cid:durableId="245917414">
    <w:abstractNumId w:val="1"/>
    <w:lvlOverride w:ilvl="0">
      <w:startOverride w:val="1"/>
    </w:lvlOverride>
  </w:num>
  <w:num w:numId="2" w16cid:durableId="27146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E42"/>
    <w:rsid w:val="006768AD"/>
    <w:rsid w:val="00936E42"/>
    <w:rsid w:val="00B202BD"/>
    <w:rsid w:val="00ED307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FC637B"/>
  <w15:docId w15:val="{CAAA8F65-EB3A-DE45-9C18-94CD65BE8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eastAsia="Arial"/>
      <w:b/>
      <w:bCs/>
      <w:color w:val="1A1A2E"/>
      <w:sz w:val="30"/>
      <w:szCs w:val="30"/>
    </w:rPr>
  </w:style>
  <w:style w:type="paragraph" w:styleId="Heading2">
    <w:name w:val="heading 2"/>
    <w:uiPriority w:val="9"/>
    <w:unhideWhenUsed/>
    <w:qFormat/>
    <w:pPr>
      <w:spacing w:before="240" w:after="80"/>
      <w:outlineLvl w:val="1"/>
    </w:pPr>
    <w:rPr>
      <w:rFonts w:eastAsia="Arial"/>
      <w:b/>
      <w:bCs/>
      <w:color w:val="16213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D30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1268</Words>
  <Characters>7232</Characters>
  <Application>Microsoft Office Word</Application>
  <DocSecurity>0</DocSecurity>
  <Lines>60</Lines>
  <Paragraphs>16</Paragraphs>
  <ScaleCrop>false</ScaleCrop>
  <Company/>
  <LinksUpToDate>false</LinksUpToDate>
  <CharactersWithSpaces>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鹿 忻</cp:lastModifiedBy>
  <cp:revision>3</cp:revision>
  <dcterms:created xsi:type="dcterms:W3CDTF">2026-07-01T01:47:00Z</dcterms:created>
  <dcterms:modified xsi:type="dcterms:W3CDTF">2026-07-01T17:38:00Z</dcterms:modified>
</cp:coreProperties>
</file>