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2e"/>
          <w:sz w:val="36"/>
          <w:szCs w:val="36"/>
        </w:rPr>
        <w:t xml:space="preserve">Project Plan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Group 6 — Computational Biology Final Project</w:t>
      </w:r>
    </w:p>
    <w:p>
      <w:pPr>
        <w:pStyle w:val="Heading1"/>
      </w:pPr>
      <w:r>
        <w:t xml:space="preserve">Research Question</w:t>
      </w:r>
    </w:p>
    <w:p>
      <w:pPr>
        <w:spacing w:after="120"/>
      </w:pPr>
      <w:r>
        <w:t xml:space="preserve">Can B-factors identify flexible binding-site residues that reduce rigid docking accuracy? We also test whether B-factors can guide ensemble docking selection via the B-factor Index for the binding site (BFIbs).</w:t>
      </w:r>
    </w:p>
    <w:p>
      <w:pPr>
        <w:pStyle w:val="Heading1"/>
      </w:pPr>
      <w:r>
        <w:t xml:space="preserve">Pipeline</w:t>
      </w:r>
    </w:p>
    <w:p>
      <w:pPr>
        <w:spacing w:after="60"/>
      </w:pPr>
      <w:r>
        <w:t xml:space="preserve">Five steps, driven by </w:t>
      </w:r>
      <w:r>
        <w:t xml:space="preserve">experiment/main.py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PDB Survey &amp; B-factor Extraction — </w:t>
      </w:r>
      <w:r>
        <w:t xml:space="preserve">Download holo structures of a target (e.g., CDK2); extract per-residue B-factors within 5Å of ligand; compute BFIbs.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Cross-Docking with Vina — </w:t>
      </w:r>
      <w:r>
        <w:t xml:space="preserve">For every receptor A + ligand B (A≠B), run rigid docking; measure RMSD vs crystal pose; classify success (RMSD&lt;2Å) or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Correlation Analysis — </w:t>
      </w:r>
      <w:r>
        <w:t xml:space="preserve">Spearman ρ between receptor B-factors and docking RMSD; t-test comparing B-factors of successful vs failed pairs.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B-factor–Guided Ensemble Docking — </w:t>
      </w:r>
      <w:r>
        <w:t xml:space="preserve">Select ensembles by BFIbs (closest to 1), random (baseline), and lowest BFIbs (most rigid). Compare success rates.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Ensemble Optimizer Benchmark — </w:t>
      </w:r>
      <w:r>
        <w:t xml:space="preserve">Implement literature optimizer (De Paris 2018; Bolstad 2009) as an upper bound for comparison.</w:t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Paper (6 sections: Intro, Background, Evidence, Experiment, Discussion, Conclusion)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slides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Experiment code + results (CSV in output/, figures in figures/)</w:t>
      </w:r>
    </w:p>
    <w:p>
      <w:pPr>
        <w:pStyle w:val="Heading1"/>
      </w:pPr>
      <w:r>
        <w:t xml:space="preserve">Timeline (14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1–2: </w:t>
      </w:r>
      <w:r>
        <w:t xml:space="preserve">Install Vina/obabel; survey PDB; select target; download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3–4: </w:t>
      </w:r>
      <w:r>
        <w:t xml:space="preserve">Extract B-factors; compute BFIbs; prepare PDBQT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5–7: </w:t>
      </w:r>
      <w:r>
        <w:t xml:space="preserve">Run cross-docking + ensemble docking; statistical analysis; generate 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8–10: </w:t>
      </w:r>
      <w:r>
        <w:t xml:space="preserve">Write paper (Intro through Conclusion)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11–12: </w:t>
      </w:r>
      <w:r>
        <w:t xml:space="preserve">Create presentation slides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Day 13–14: </w:t>
      </w:r>
      <w:r>
        <w:t xml:space="preserve">Revise paper; rehearse presentation</w:t>
      </w:r>
    </w:p>
    <w:p>
      <w:pPr>
        <w:pStyle w:val="Heading1"/>
      </w:pPr>
      <w:r>
        <w:t xml:space="preserve">Key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Amaro et al. (2018) — Ensemble docking in drug discovery. Biophys. 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Halip et al. (2021) — BFIbs to prioritize structures for docking. Struct. Chem.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Korb et al. (2012) — Potential and limitations of ensemble docking. JCIM.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Palacio-Rodríguez et al. (2019) — ECR improves ensemble docking. Sci. Rep.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Bottegoni et al. (2009) — 4D docking. J. Med. Chem.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Rao et al. (2008) — Improving enrichment through ensemble docking. JCAMD.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Najmanovich et al. (2000) — Side-chain flexibility. Proteins.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Paris et al. (2018) — Selective ensemble optimization. BMC Bioinf.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Bolstad &amp; Anderson (2009) — Pruning ensembles. JCAMD.</w:t>
      </w:r>
    </w:p>
    <w:p>
      <w:pPr>
        <w:pStyle w:val="Heading1"/>
      </w:pPr>
      <w:r>
        <w:t xml:space="preserve">Key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Backbone–sidechain decoupling: </w:t>
      </w:r>
      <w:r>
        <w:t xml:space="preserve">B-factors measure backbone motion, not side-chain rotations (Najmanovich 2000).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 selection: </w:t>
      </w:r>
      <w:r>
        <w:t xml:space="preserve">Need structural diversity—too little gives ceiling effects, too much gives floor effects.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Statistical power: </w:t>
      </w:r>
      <w:r>
        <w:t xml:space="preserve">Limited distinct conformations may reduce power. Report effect sizes + CIs.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Vina limitations: </w:t>
      </w:r>
      <w:r>
        <w:t xml:space="preserve">Less accurate than Glide/GOLD/ICM. Cross-validate if time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Correlation ≠ causation: </w:t>
      </w:r>
      <w:r>
        <w:t xml:space="preserve">Confounds: resolution bias, crystal packing, ligand-induced B-factor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2026-07-07T18:05:24.830Z</dcterms:created>
  <dcterms:modified xsi:type="dcterms:W3CDTF">2026-07-07T18:05:24.831Z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