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ABF5" w14:textId="77777777" w:rsidR="00936E42" w:rsidRDefault="00000000">
      <w:pPr>
        <w:spacing w:after="60"/>
        <w:jc w:val="center"/>
      </w:pPr>
      <w:r>
        <w:rPr>
          <w:b/>
          <w:bCs/>
          <w:color w:val="1A1A2E"/>
          <w:sz w:val="36"/>
          <w:szCs w:val="36"/>
        </w:rPr>
        <w:t>Checkpoint 1</w:t>
      </w:r>
    </w:p>
    <w:p w14:paraId="7DDB9850" w14:textId="77777777" w:rsidR="00936E42" w:rsidRDefault="00000000"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>Group 6 — Computational Biology Final Project</w:t>
      </w:r>
    </w:p>
    <w:p w14:paraId="6C6F2BBF" w14:textId="77777777" w:rsidR="00936E42" w:rsidRDefault="00000000">
      <w:pPr>
        <w:spacing w:after="300"/>
        <w:jc w:val="center"/>
      </w:pPr>
      <w:r>
        <w:rPr>
          <w:i/>
          <w:iCs/>
          <w:color w:val="2C3E50"/>
        </w:rPr>
        <w:t>Can B-factors identify flexible binding-site residues that reduce rigid docking accuracy?</w:t>
      </w:r>
    </w:p>
    <w:p w14:paraId="7FEE33CC" w14:textId="77777777" w:rsidR="00936E42" w:rsidRDefault="00000000">
      <w:pPr>
        <w:pStyle w:val="Heading1"/>
      </w:pPr>
      <w:r>
        <w:t>1. Topic Introduction</w:t>
      </w:r>
    </w:p>
    <w:p w14:paraId="70460B39" w14:textId="77777777" w:rsidR="00936E42" w:rsidRDefault="00000000">
      <w:pPr>
        <w:spacing w:after="120"/>
      </w:pPr>
      <w:r>
        <w:t>Protein flexibility poses a fundamental challenge for rigid docking algorithms: a single crystal structure captures only one snapshot of a protein’s conformational ensemble, yet different ligands may bind to distinct conformations. Cross-docking experiments consistently reveal that success rates drop sharply when the receptor conformation differs from the one co-crystallized with the ligand. This project investigates whether crystallographic B-factors—readily available in every PDB structure—can predict which binding-site residues are flexible enough to degrade rigid docking accuracy. We further test whether B-factors can guide the selection of receptor ensembles for ensemble docking, using the B-factor Index for the binding site (BFIbs) to choose which structures to include. By comparing B-factor-guided ensemble selection against random and lowest-B-factor baselines, we evaluate whether this simple, zero-cost metric can improve pose prediction without the computational expense of molecular dynamics simulations.</w:t>
      </w:r>
    </w:p>
    <w:p w14:paraId="5B710C4A" w14:textId="77777777" w:rsidR="00936E4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PDB Survey &amp; B-factor Extraction</w:t>
      </w:r>
      <w:r>
        <w:t xml:space="preserve"> — Download all holo structures of a target protein (e.g., CDK2) from the PDB; extract per-residue B-factors for binding-site residues within 5 Å of the co-crystallized ligand; compute the B-factor Index for the binding site (BFIbs) for each structure.</w:t>
      </w:r>
    </w:p>
    <w:p w14:paraId="6C821D5B" w14:textId="77777777" w:rsidR="00936E4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Cross-Docking with AutoDock Vina</w:t>
      </w:r>
      <w:r>
        <w:t xml:space="preserve"> — For every pair of structures (receptor A + ligand B, A ≠ B), run rigid docking; measure RMSD between the docked pose and the crystal pose; classify each pair as success (RMSD &lt; 2 Å) or failure.</w:t>
      </w:r>
    </w:p>
    <w:p w14:paraId="7D932E6C" w14:textId="77777777" w:rsidR="00936E4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B-factor–Guided Ensemble Docking</w:t>
      </w:r>
      <w:r>
        <w:t xml:space="preserve"> — Select receptor ensembles using three strategies: BFIbs-guided (structures closest to BFIbs = 1), random (baseline), and lowest-B-factor (most rigid binding sites). Dock each ligand against all ensemble members, taking the best pose. Compare success rates to test whether B-factors improve ensemble selection over random.</w:t>
      </w:r>
    </w:p>
    <w:p w14:paraId="3A043F7D" w14:textId="77777777" w:rsidR="00936E4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Ensemble Optimizer Comparison</w:t>
      </w:r>
      <w:r>
        <w:t xml:space="preserve"> — Implement an iterative ensemble optimizer (De Paris et al., 2018; Bolstad &amp; Anderson, 2009) as a literature-based upper bound: cluster receptor conformations by docking-score feedback, then compare its success rate against B-factor-guided and random selection to benchmark our method.</w:t>
      </w:r>
    </w:p>
    <w:p w14:paraId="4A297C1F" w14:textId="77777777" w:rsidR="00936E42" w:rsidRDefault="00000000">
      <w:pPr>
        <w:pStyle w:val="Heading1"/>
      </w:pPr>
      <w:r>
        <w:t>2. Key References</w:t>
      </w:r>
    </w:p>
    <w:p w14:paraId="348B9930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Amaro, R. E., Baudry, J. L., Chodera, J. D., Demir, Ö., McCammon, J. A., Miao, Y., &amp; Smith, J. C. (2018). Ensemble docking in drug discovery. </w:t>
      </w:r>
      <w:r>
        <w:rPr>
          <w:i/>
          <w:iCs/>
        </w:rPr>
        <w:t>Biophysical Journal, 114</w:t>
      </w:r>
      <w:r>
        <w:t>(10), 2271–2278. https://doi.org/10.1016/j.bpj.2018.02.038</w:t>
      </w:r>
    </w:p>
    <w:p w14:paraId="6A809DCD" w14:textId="77777777" w:rsidR="00936E42" w:rsidRDefault="00000000">
      <w:pPr>
        <w:spacing w:after="160"/>
        <w:ind w:left="720"/>
      </w:pPr>
      <w:r>
        <w:t>The definitive review of ensemble docking methodology. Describes the Relaxed Complex Scheme (RCS)—generating conformational ensembles from MD trajectories—and the core challenge: ensemble selection is the critical bottleneck, not ensemble generation.</w:t>
      </w:r>
    </w:p>
    <w:p w14:paraId="6332B9BB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Halip, L., Avram, S., &amp; Neanu, C. (2021). The B-factor index for the binding site (BFIbs) to prioritize crystal protein structures for docking. </w:t>
      </w:r>
      <w:r>
        <w:rPr>
          <w:i/>
          <w:iCs/>
        </w:rPr>
        <w:t>Structural Chemistry, 32</w:t>
      </w:r>
      <w:r>
        <w:t>(4), 1693–1699. https://doi.org/10.1007/s11224-021-01720-4</w:t>
      </w:r>
    </w:p>
    <w:p w14:paraId="2C0C293B" w14:textId="77777777" w:rsidR="00936E42" w:rsidRDefault="00000000">
      <w:pPr>
        <w:spacing w:after="160"/>
        <w:ind w:left="720"/>
      </w:pPr>
      <w:r>
        <w:t>Introduces BFIbs = median(B_pocket) / median(B_protein). Across 26,019 protein–ligand complexes, BFIbs was the only crystallographic metric significantly correlated with docking RMSD. Structures with BFIbs &lt; 1 produced the best docking results (RMSD &lt; 2 Å). This is the direct methodological predecessor to our ensemble selection strategy.</w:t>
      </w:r>
    </w:p>
    <w:p w14:paraId="69967E4B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Korb, O., Olsson, T. S. G., Bowden, S. J., Hall, R. J., Verdonk, M. L., Liebeschuetz, J. W., &amp; Cole, J. C. (2012). Potential and limitations of ensemble docking. </w:t>
      </w:r>
      <w:r>
        <w:rPr>
          <w:i/>
          <w:iCs/>
        </w:rPr>
        <w:t>Journal of Chemical Information and Modeling, 52</w:t>
      </w:r>
      <w:r>
        <w:t>(5), 1292–1304. https://doi.org/10.1021/ci300064d</w:t>
      </w:r>
    </w:p>
    <w:p w14:paraId="4D77F67C" w14:textId="77777777" w:rsidR="00936E42" w:rsidRDefault="00000000">
      <w:pPr>
        <w:spacing w:after="160"/>
        <w:ind w:left="720"/>
      </w:pPr>
      <w:r>
        <w:t>Large-scale systematic evaluation: 8 targets, 500,000 receptor combinations. Key finding: most randomly assembled ensembles do not improve enrichment over single-structure docking. Ensemble selection matters more than ensemble size—validating our hypothesis that a principled selection strategy (B-factor) should outperform random.</w:t>
      </w:r>
    </w:p>
    <w:p w14:paraId="0E37DAD3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Palacio-Rodríguez, K., Lans, I., &amp; Cavasotto, C. N. (2019). Exponential consensus ranking improves the outcome in docking and receptor ensemble docking. </w:t>
      </w:r>
      <w:r>
        <w:rPr>
          <w:i/>
          <w:iCs/>
        </w:rPr>
        <w:t>Scientific Reports, 9</w:t>
      </w:r>
      <w:r>
        <w:t>, 5142. https://doi.org/10.1038/s41598-019-41594-3</w:t>
      </w:r>
    </w:p>
    <w:p w14:paraId="0FD29A16" w14:textId="77777777" w:rsidR="00936E42" w:rsidRDefault="00000000">
      <w:pPr>
        <w:spacing w:after="160"/>
        <w:ind w:left="720"/>
      </w:pPr>
      <w:r>
        <w:lastRenderedPageBreak/>
        <w:t>Proposes Exponential Consensus Ranking (ECR) for integrating multi-structure docking results. Demonstrates that ensemble docking + consensus ranking consistently outperforms single-structure docking across 4 diverse targets (CDK2, ESR1, CAH2, ADRB2). Provides a principled framework for how to combine results once an ensemble is selected.</w:t>
      </w:r>
    </w:p>
    <w:p w14:paraId="1D6DF1C5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Bottegoni, G., Kufareva, I., Totrov, M., &amp; Abagyan, R. (2009). Four-dimensional docking: A fast and accurate account of discrete receptor flexibility in ligand docking. </w:t>
      </w:r>
      <w:r>
        <w:rPr>
          <w:i/>
          <w:iCs/>
        </w:rPr>
        <w:t>Journal of Medicinal Chemistry, 52</w:t>
      </w:r>
      <w:r>
        <w:t>(2), 397–406. https://doi.org/10.1021/jm8009958</w:t>
      </w:r>
    </w:p>
    <w:p w14:paraId="1DE0D9C0" w14:textId="77777777" w:rsidR="00936E42" w:rsidRDefault="00000000">
      <w:pPr>
        <w:spacing w:after="160"/>
        <w:ind w:left="720"/>
      </w:pPr>
      <w:r>
        <w:t>Treats receptor conformations as a fourth dimension, achieving ~4× speedup over traditional ensemble docking while maintaining accuracy on 99 proteins and 300 ligands. Demonstrates that the sampling algorithm, not just ensemble composition, governs success.</w:t>
      </w:r>
    </w:p>
    <w:p w14:paraId="560E63A7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Rao, S., Sanschagrin, P. C., Greenwood, J. R., Repasky, M. P., Sherman, W., &amp; Farid, R. (2008). Improving database enrichment through ensemble docking. </w:t>
      </w:r>
      <w:r>
        <w:rPr>
          <w:i/>
          <w:iCs/>
        </w:rPr>
        <w:t>Journal of Computer-Aided Molecular Design, 22</w:t>
      </w:r>
      <w:r>
        <w:t>(9), 657–663. https://doi.org/10.1007/s10822-008-9163-6</w:t>
      </w:r>
    </w:p>
    <w:p w14:paraId="0111F3C2" w14:textId="77777777" w:rsidR="00936E42" w:rsidRDefault="00000000">
      <w:pPr>
        <w:spacing w:after="160"/>
        <w:ind w:left="720"/>
      </w:pPr>
      <w:r>
        <w:t>Demonstrated that 2–3 well-chosen receptor structures in an ensemble can match or exceed performance of larger ensembles. Proposed an ensemble selection strategy based on average GlideScore of top-ranked ligands, without requiring known actives.</w:t>
      </w:r>
    </w:p>
    <w:p w14:paraId="28C11725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Najmanovich, R., Kuttner, J., Sobolev, V., &amp; Edelman, M. (2000). Side-chain flexibility in proteins upon ligand binding. </w:t>
      </w:r>
      <w:r>
        <w:rPr>
          <w:i/>
          <w:iCs/>
        </w:rPr>
        <w:t>Proteins: Structure, Function, and Bioinformatics, 39</w:t>
      </w:r>
      <w:r>
        <w:t>(3), 261–268. https://doi.org/10.1002/(SICI)1097-0134(20000515)39:3&lt;261::AID-PROT90&gt;3.0.CO;2-4</w:t>
      </w:r>
    </w:p>
    <w:p w14:paraId="12A1ACBA" w14:textId="77777777" w:rsidR="00936E42" w:rsidRDefault="00000000">
      <w:pPr>
        <w:spacing w:after="300"/>
        <w:ind w:left="720"/>
      </w:pPr>
      <w:r>
        <w:t>Found that backbone motions and side-chain rotations are decoupled—a fundamental limitation for using B-factors (which primarily reflect backbone motion) to predict side-chain flexibility. This is the most important counter-argument to our hypothesis.</w:t>
      </w:r>
    </w:p>
    <w:p w14:paraId="4B154F8E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 Paris, R., Vahl Quevedo, C., Ruiz, D. D., Gargano, F., &amp; de Souza, O. N. (2018). A selective method for optimizing ensemble docking-based experiments on an InhA fully-flexible receptor model. </w:t>
      </w:r>
      <w:r>
        <w:rPr>
          <w:i/>
          <w:iCs/>
        </w:rPr>
        <w:t>BMC Bioinformatics, 19</w:t>
      </w:r>
      <w:r>
        <w:t>, 235. https://doi.org/10.1186/s12859-018-2228-9</w:t>
      </w:r>
    </w:p>
    <w:p w14:paraId="0A265F9F" w14:textId="77777777" w:rsidR="00936E42" w:rsidRDefault="00000000">
      <w:pPr>
        <w:spacing w:after="160"/>
        <w:ind w:left="720"/>
      </w:pPr>
      <w:r>
        <w:t>Proposes a hierarchical clustering strategy for ensemble selection using docking-score feedback—an iterative optimizer that picks conformations based on how well they dock, rather than structural similarity alone. Serves as the literature benchmark for ensemble optimization.</w:t>
      </w:r>
    </w:p>
    <w:p w14:paraId="1B376F0F" w14:textId="77777777" w:rsidR="00936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Bolstad, A. C., &amp; Anderson, A. C. (2009). In pursuit of virtual lead optimization: Pruning ensembles of receptor structures for increased efficiency and accuracy during docking. </w:t>
      </w:r>
      <w:r>
        <w:rPr>
          <w:i/>
          <w:iCs/>
        </w:rPr>
        <w:t>Journal of Computer-Aided Molecular Design, 23</w:t>
      </w:r>
      <w:r>
        <w:t>(11), 755–763. https://doi.org/10.1007/s10822-009-9220-9</w:t>
      </w:r>
    </w:p>
    <w:p w14:paraId="2C487F10" w14:textId="77777777" w:rsidR="00936E42" w:rsidRDefault="00000000">
      <w:pPr>
        <w:spacing w:after="300"/>
        <w:ind w:left="720"/>
      </w:pPr>
      <w:r>
        <w:t>Introduces a relative-distance-based pruning method that retains ensemble members whose active-site core geometry best preserves the conserved ligand-binding pharmacophore. Demonstrates that geometric pruning can match the accuracy of full ensembles at a fraction of the computational cost.</w:t>
      </w:r>
    </w:p>
    <w:p w14:paraId="5F6C2915" w14:textId="77777777" w:rsidR="00936E42" w:rsidRDefault="00000000">
      <w:pPr>
        <w:pStyle w:val="Heading1"/>
      </w:pPr>
      <w:r>
        <w:t>3. Major Blocks &amp; Challenges</w:t>
      </w:r>
    </w:p>
    <w:p w14:paraId="5370F417" w14:textId="77777777" w:rsidR="00936E42" w:rsidRDefault="00000000">
      <w:pPr>
        <w:spacing w:after="80"/>
      </w:pPr>
      <w:r>
        <w:t>The following challenges represent the most significant obstacles we anticipate, prioritized by risk to the project’s core claims.</w:t>
      </w:r>
    </w:p>
    <w:p w14:paraId="2F50F657" w14:textId="77777777" w:rsidR="00936E42" w:rsidRDefault="00000000">
      <w:pPr>
        <w:pStyle w:val="Heading2"/>
      </w:pPr>
      <w:r>
        <w:t>3.1 Backbone–Sidechain Decoupling (Highest Risk)</w:t>
      </w:r>
    </w:p>
    <w:p w14:paraId="5007353B" w14:textId="77777777" w:rsidR="00936E42" w:rsidRDefault="00000000">
      <w:pPr>
        <w:spacing w:after="120"/>
      </w:pPr>
      <w:r>
        <w:t>Backbone B-factors do not directly report on side-chain rotations (Najmanovich et al., 2000)—a residue with low backbone B-factor may still have a flexible side-chain that blocks the pocket. We will separately analyze residues where side-chain flexibility matters (e.g., gatekeeper residues in kinases) vs. backbone-only motion.</w:t>
      </w:r>
    </w:p>
    <w:p w14:paraId="3F91F92B" w14:textId="77777777" w:rsidR="00936E42" w:rsidRDefault="00000000">
      <w:pPr>
        <w:pStyle w:val="Heading2"/>
      </w:pPr>
      <w:r>
        <w:t>3.2 Target Selection Determines Signal-to-Noise</w:t>
      </w:r>
    </w:p>
    <w:p w14:paraId="5E10AD34" w14:textId="77777777" w:rsidR="00936E42" w:rsidRDefault="00000000">
      <w:pPr>
        <w:spacing w:after="120"/>
      </w:pPr>
      <w:r>
        <w:t xml:space="preserve">Too little conformational diversity produces a ceiling effect (all docking succeeds); too much produces a floor effect (all docking fails). CDK2 structures solved with similar inhibitors may lack meaningful variation. We will compute pairwise RMSD across structures to validate diversity before committing to a target.</w:t>
      </w:r>
    </w:p>
    <w:p w14:paraId="40D181C7" w14:textId="77777777" w:rsidR="00936E42" w:rsidRDefault="00000000">
      <w:pPr>
        <w:pStyle w:val="Heading2"/>
      </w:pPr>
      <w:r>
        <w:t>3.3 Statistical Power with Small Ensembles</w:t>
      </w:r>
    </w:p>
    <w:p w14:paraId="406C799F" w14:textId="77777777" w:rsidR="00936E42" w:rsidRDefault="00000000">
      <w:pPr>
        <w:spacing w:after="120"/>
      </w:pPr>
      <w:r>
        <w:t>With limited structurally distinct conformations, BFIbs selection operates on few meaningful options—reducing statistical power. We will report effect sizes and confidence intervals alongside p-values, emphasizing qualitative trends over significance alone.</w:t>
      </w:r>
    </w:p>
    <w:p w14:paraId="1C82A9CC" w14:textId="77777777" w:rsidR="00936E42" w:rsidRDefault="00000000">
      <w:pPr>
        <w:pStyle w:val="Heading2"/>
      </w:pPr>
      <w:r>
        <w:t>3.4 AutoDock Vina’s Limitations</w:t>
      </w:r>
    </w:p>
    <w:p w14:paraId="5BB8B333" w14:textId="77777777" w:rsidR="00936E42" w:rsidRDefault="00000000">
      <w:pPr>
        <w:spacing w:after="120"/>
      </w:pPr>
      <w:r>
        <w:t>Vina is faster but less accurate than Glide, GOLD, or ICM (Korb et al., 2012); its scoring function may wash out subtle conformational effects. Cross-validation with a second scoring function is planned if time permits, and we acknowledge that conclusions may not generalize to all docking engines.</w:t>
      </w:r>
    </w:p>
    <w:p w14:paraId="57BF9F4A" w14:textId="77777777" w:rsidR="00936E42" w:rsidRDefault="00000000">
      <w:pPr>
        <w:pStyle w:val="Heading2"/>
      </w:pPr>
      <w:r>
        <w:t>3.5 Correlational vs. Causal Claims</w:t>
      </w:r>
    </w:p>
    <w:p w14:paraId="6D4ECC12" w14:textId="77777777" w:rsidR="00936E42" w:rsidRDefault="00000000">
      <w:pPr>
        <w:spacing w:after="120"/>
      </w:pPr>
      <w:r>
        <w:t>We can only claim correlation, not causation. Confounds include resolution bias, crystal packing artifacts, and ligand-induced B-factor changes. We normalize B-factors via BFIbs, check for resolution dependence, and explicitly distinguish correlation from causation throughout.</w:t>
      </w:r>
    </w:p>
    <w:p w14:paraId="12404C4E" w14:textId="77777777" w:rsidR="00ED307D" w:rsidRDefault="00ED307D">
      <w:pPr>
        <w:spacing w:after="120"/>
      </w:pPr>
    </w:p>
    <w:p w14:paraId="0E2CFAA5" w14:textId="0199F66B" w:rsidR="00ED307D" w:rsidRDefault="00ED307D" w:rsidP="00B202BD">
      <w:pPr>
        <w:pStyle w:val="Heading1"/>
      </w:pPr>
      <w:r>
        <w:rPr>
          <w:rFonts w:hint="eastAsia"/>
        </w:rPr>
        <w:t>4. Work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307D" w14:paraId="0F94A107" w14:textId="77777777" w:rsidTr="00ED307D">
        <w:tc>
          <w:tcPr>
            <w:tcW w:w="4675" w:type="dxa"/>
          </w:tcPr>
          <w:p w14:paraId="7329B28E" w14:textId="42EC9C27" w:rsidR="00ED307D" w:rsidRDefault="00ED307D">
            <w:pPr>
              <w:spacing w:after="12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4675" w:type="dxa"/>
          </w:tcPr>
          <w:p w14:paraId="21B3F397" w14:textId="1D999FB0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Percent</w:t>
            </w:r>
          </w:p>
        </w:tc>
      </w:tr>
      <w:tr w:rsidR="00ED307D" w14:paraId="3B257BAC" w14:textId="77777777" w:rsidTr="00ED307D">
        <w:tc>
          <w:tcPr>
            <w:tcW w:w="4675" w:type="dxa"/>
          </w:tcPr>
          <w:p w14:paraId="53F253B9" w14:textId="1E93580C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Lucas</w:t>
            </w:r>
          </w:p>
        </w:tc>
        <w:tc>
          <w:tcPr>
            <w:tcW w:w="4675" w:type="dxa"/>
          </w:tcPr>
          <w:p w14:paraId="1282B34E" w14:textId="3545558B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  <w:tr w:rsidR="00ED307D" w14:paraId="68DD4F48" w14:textId="77777777" w:rsidTr="00ED307D">
        <w:tc>
          <w:tcPr>
            <w:tcW w:w="4675" w:type="dxa"/>
          </w:tcPr>
          <w:p w14:paraId="28064223" w14:textId="139EA806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James</w:t>
            </w:r>
          </w:p>
        </w:tc>
        <w:tc>
          <w:tcPr>
            <w:tcW w:w="4675" w:type="dxa"/>
          </w:tcPr>
          <w:p w14:paraId="13240B97" w14:textId="6329F59F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  <w:tr w:rsidR="00ED307D" w14:paraId="44905950" w14:textId="77777777" w:rsidTr="00ED307D">
        <w:tc>
          <w:tcPr>
            <w:tcW w:w="4675" w:type="dxa"/>
          </w:tcPr>
          <w:p w14:paraId="0D377C8A" w14:textId="3EB6FCE0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Lola</w:t>
            </w:r>
          </w:p>
        </w:tc>
        <w:tc>
          <w:tcPr>
            <w:tcW w:w="4675" w:type="dxa"/>
          </w:tcPr>
          <w:p w14:paraId="24B16585" w14:textId="0C1F02CA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ED307D" w14:paraId="4DEDB335" w14:textId="77777777" w:rsidTr="00ED307D">
        <w:tc>
          <w:tcPr>
            <w:tcW w:w="4675" w:type="dxa"/>
          </w:tcPr>
          <w:p w14:paraId="70BF1C2A" w14:textId="0EB89075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Emily</w:t>
            </w:r>
          </w:p>
        </w:tc>
        <w:tc>
          <w:tcPr>
            <w:tcW w:w="4675" w:type="dxa"/>
          </w:tcPr>
          <w:p w14:paraId="6EA869BF" w14:textId="43831B8A" w:rsidR="00ED307D" w:rsidRDefault="00ED307D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</w:tbl>
    <w:p w14:paraId="30684932" w14:textId="69633DD8" w:rsidR="00ED307D" w:rsidRDefault="00ED307D">
      <w:pPr>
        <w:spacing w:after="120"/>
        <w:rPr>
          <w:rFonts w:hint="eastAsia"/>
        </w:rPr>
      </w:pPr>
    </w:p>
    <w:sectPr w:rsidR="00ED30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387F"/>
    <w:multiLevelType w:val="hybridMultilevel"/>
    <w:tmpl w:val="5B229FCE"/>
    <w:lvl w:ilvl="0" w:tplc="2B10906C">
      <w:start w:val="1"/>
      <w:numFmt w:val="decimal"/>
      <w:lvlText w:val="%1."/>
      <w:lvlJc w:val="left"/>
      <w:pPr>
        <w:ind w:left="720" w:hanging="360"/>
      </w:pPr>
    </w:lvl>
    <w:lvl w:ilvl="1" w:tplc="0010E1F4">
      <w:numFmt w:val="decimal"/>
      <w:lvlText w:val=""/>
      <w:lvlJc w:val="left"/>
    </w:lvl>
    <w:lvl w:ilvl="2" w:tplc="F81E28D2">
      <w:numFmt w:val="decimal"/>
      <w:lvlText w:val=""/>
      <w:lvlJc w:val="left"/>
    </w:lvl>
    <w:lvl w:ilvl="3" w:tplc="6088B446">
      <w:numFmt w:val="decimal"/>
      <w:lvlText w:val=""/>
      <w:lvlJc w:val="left"/>
    </w:lvl>
    <w:lvl w:ilvl="4" w:tplc="88D85494">
      <w:numFmt w:val="decimal"/>
      <w:lvlText w:val=""/>
      <w:lvlJc w:val="left"/>
    </w:lvl>
    <w:lvl w:ilvl="5" w:tplc="25021C1E">
      <w:numFmt w:val="decimal"/>
      <w:lvlText w:val=""/>
      <w:lvlJc w:val="left"/>
    </w:lvl>
    <w:lvl w:ilvl="6" w:tplc="1FB00896">
      <w:numFmt w:val="decimal"/>
      <w:lvlText w:val=""/>
      <w:lvlJc w:val="left"/>
    </w:lvl>
    <w:lvl w:ilvl="7" w:tplc="CAFA6ABE">
      <w:numFmt w:val="decimal"/>
      <w:lvlText w:val=""/>
      <w:lvlJc w:val="left"/>
    </w:lvl>
    <w:lvl w:ilvl="8" w:tplc="7298D21C">
      <w:numFmt w:val="decimal"/>
      <w:lvlText w:val=""/>
      <w:lvlJc w:val="left"/>
    </w:lvl>
  </w:abstractNum>
  <w:abstractNum w:abstractNumId="1" w15:restartNumberingAfterBreak="0">
    <w:nsid w:val="4B1C2F1B"/>
    <w:multiLevelType w:val="hybridMultilevel"/>
    <w:tmpl w:val="C64CDD66"/>
    <w:lvl w:ilvl="0" w:tplc="17EC09D4">
      <w:start w:val="1"/>
      <w:numFmt w:val="bullet"/>
      <w:lvlText w:val="●"/>
      <w:lvlJc w:val="left"/>
      <w:pPr>
        <w:ind w:left="720" w:hanging="360"/>
      </w:pPr>
    </w:lvl>
    <w:lvl w:ilvl="1" w:tplc="640EC8D2">
      <w:start w:val="1"/>
      <w:numFmt w:val="bullet"/>
      <w:lvlText w:val="○"/>
      <w:lvlJc w:val="left"/>
      <w:pPr>
        <w:ind w:left="1440" w:hanging="360"/>
      </w:pPr>
    </w:lvl>
    <w:lvl w:ilvl="2" w:tplc="94BEB39E">
      <w:start w:val="1"/>
      <w:numFmt w:val="bullet"/>
      <w:lvlText w:val="■"/>
      <w:lvlJc w:val="left"/>
      <w:pPr>
        <w:ind w:left="2160" w:hanging="360"/>
      </w:pPr>
    </w:lvl>
    <w:lvl w:ilvl="3" w:tplc="537AD80C">
      <w:start w:val="1"/>
      <w:numFmt w:val="bullet"/>
      <w:lvlText w:val="●"/>
      <w:lvlJc w:val="left"/>
      <w:pPr>
        <w:ind w:left="2880" w:hanging="360"/>
      </w:pPr>
    </w:lvl>
    <w:lvl w:ilvl="4" w:tplc="E5DA5ECE">
      <w:start w:val="1"/>
      <w:numFmt w:val="bullet"/>
      <w:lvlText w:val="○"/>
      <w:lvlJc w:val="left"/>
      <w:pPr>
        <w:ind w:left="3600" w:hanging="360"/>
      </w:pPr>
    </w:lvl>
    <w:lvl w:ilvl="5" w:tplc="99B06924">
      <w:start w:val="1"/>
      <w:numFmt w:val="bullet"/>
      <w:lvlText w:val="■"/>
      <w:lvlJc w:val="left"/>
      <w:pPr>
        <w:ind w:left="4320" w:hanging="360"/>
      </w:pPr>
    </w:lvl>
    <w:lvl w:ilvl="6" w:tplc="00FAC744">
      <w:start w:val="1"/>
      <w:numFmt w:val="bullet"/>
      <w:lvlText w:val="●"/>
      <w:lvlJc w:val="left"/>
      <w:pPr>
        <w:ind w:left="5040" w:hanging="360"/>
      </w:pPr>
    </w:lvl>
    <w:lvl w:ilvl="7" w:tplc="F4286D62">
      <w:start w:val="1"/>
      <w:numFmt w:val="bullet"/>
      <w:lvlText w:val="●"/>
      <w:lvlJc w:val="left"/>
      <w:pPr>
        <w:ind w:left="5760" w:hanging="360"/>
      </w:pPr>
    </w:lvl>
    <w:lvl w:ilvl="8" w:tplc="9FEE10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651FA3"/>
    <w:multiLevelType w:val="hybridMultilevel"/>
    <w:tmpl w:val="BC56C30A"/>
    <w:lvl w:ilvl="0" w:tplc="DC6A87AE">
      <w:start w:val="1"/>
      <w:numFmt w:val="bullet"/>
      <w:lvlText w:val="•"/>
      <w:lvlJc w:val="left"/>
      <w:pPr>
        <w:ind w:left="720" w:hanging="360"/>
      </w:pPr>
    </w:lvl>
    <w:lvl w:ilvl="1" w:tplc="83584C38">
      <w:numFmt w:val="decimal"/>
      <w:lvlText w:val=""/>
      <w:lvlJc w:val="left"/>
    </w:lvl>
    <w:lvl w:ilvl="2" w:tplc="50925486">
      <w:numFmt w:val="decimal"/>
      <w:lvlText w:val=""/>
      <w:lvlJc w:val="left"/>
    </w:lvl>
    <w:lvl w:ilvl="3" w:tplc="FDD8FA04">
      <w:numFmt w:val="decimal"/>
      <w:lvlText w:val=""/>
      <w:lvlJc w:val="left"/>
    </w:lvl>
    <w:lvl w:ilvl="4" w:tplc="34A897A0">
      <w:numFmt w:val="decimal"/>
      <w:lvlText w:val=""/>
      <w:lvlJc w:val="left"/>
    </w:lvl>
    <w:lvl w:ilvl="5" w:tplc="6DEC89E0">
      <w:numFmt w:val="decimal"/>
      <w:lvlText w:val=""/>
      <w:lvlJc w:val="left"/>
    </w:lvl>
    <w:lvl w:ilvl="6" w:tplc="F7901178">
      <w:numFmt w:val="decimal"/>
      <w:lvlText w:val=""/>
      <w:lvlJc w:val="left"/>
    </w:lvl>
    <w:lvl w:ilvl="7" w:tplc="7B087C52">
      <w:numFmt w:val="decimal"/>
      <w:lvlText w:val=""/>
      <w:lvlJc w:val="left"/>
    </w:lvl>
    <w:lvl w:ilvl="8" w:tplc="D28E43D6">
      <w:numFmt w:val="decimal"/>
      <w:lvlText w:val=""/>
      <w:lvlJc w:val="left"/>
    </w:lvl>
  </w:abstractNum>
  <w:num w:numId="1" w16cid:durableId="245917414">
    <w:abstractNumId w:val="1"/>
    <w:lvlOverride w:ilvl="0">
      <w:startOverride w:val="1"/>
    </w:lvlOverride>
  </w:num>
  <w:num w:numId="2" w16cid:durableId="27146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E42"/>
    <w:rsid w:val="006768AD"/>
    <w:rsid w:val="00936E42"/>
    <w:rsid w:val="00B202BD"/>
    <w:rsid w:val="00ED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C637B"/>
  <w15:docId w15:val="{CAAA8F65-EB3A-DE45-9C18-94CD65BE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1621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D3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鹿 忻</cp:lastModifiedBy>
  <cp:revision>3</cp:revision>
  <dcterms:created xsi:type="dcterms:W3CDTF">2026-07-01T01:47:00Z</dcterms:created>
  <dcterms:modified xsi:type="dcterms:W3CDTF">2026-07-01T17:38:00Z</dcterms:modified>
</cp:coreProperties>
</file>