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Knowing What You Don’t Know: A Symmetric Comparison of Metacognitive Calibration in Humans and Large Language Models</w:t>
      </w:r>
    </w:p>
    <w:p>
      <w:pPr>
        <w:spacing w:after="240"/>
        <w:jc w:val="center"/>
      </w:pPr>
      <w:r>
        <w:rPr>
          <w:rFonts w:ascii="Times New Roman" w:cs="Times New Roman" w:eastAsia="Times New Roman" w:hAnsi="Times New Roman"/>
          <w:color w:val="808080"/>
          <w:sz w:val="22"/>
          <w:szCs w:val="22"/>
        </w:rPr>
        <w:t xml:space="preserve">[ Author ]   ·   [ Affiliation ]</w:t>
      </w:r>
    </w:p>
    <w:p>
      <w:pPr>
        <w:pStyle w:val="Heading2"/>
        <w:spacing w:after="120" w:before="240"/>
      </w:pPr>
      <w:r>
        <w:rPr>
          <w:rFonts w:ascii="Times New Roman" w:cs="Times New Roman" w:eastAsia="Times New Roman" w:hAnsi="Times New Roman"/>
          <w:b/>
          <w:bCs/>
          <w:color w:val="000000"/>
          <w:sz w:val="26"/>
          <w:szCs w:val="26"/>
        </w:rPr>
        <w:t xml:space="preserve">Abstract</w:t>
      </w:r>
    </w:p>
    <w:p>
      <w:pPr>
        <w:spacing w:after="140" w:line="288"/>
      </w:pPr>
      <w:r>
        <w:rPr>
          <w:rFonts w:ascii="Times New Roman" w:cs="Times New Roman" w:eastAsia="Times New Roman" w:hAnsi="Times New Roman"/>
          <w:i/>
          <w:iCs/>
          <w:color w:val="808080"/>
          <w:sz w:val="22"/>
          <w:szCs w:val="22"/>
        </w:rPr>
        <w:t xml:space="preserve">[To be written last — four sentences: problem → method → (expected) findings → contribution; 150–250 words.]</w:t>
      </w:r>
    </w:p>
    <w:p>
      <w:pPr>
        <w:pStyle w:val="Heading1"/>
        <w:spacing w:after="160" w:before="300"/>
      </w:pPr>
      <w:r>
        <w:rPr>
          <w:rFonts w:ascii="Times New Roman" w:cs="Times New Roman" w:eastAsia="Times New Roman" w:hAnsi="Times New Roman"/>
          <w:b/>
          <w:bCs/>
          <w:color w:val="000000"/>
          <w:sz w:val="30"/>
          <w:szCs w:val="30"/>
        </w:rPr>
        <w:t xml:space="preserve">1. Introduction</w:t>
      </w:r>
    </w:p>
    <w:p>
      <w:pPr>
        <w:spacing w:after="160" w:line="300"/>
        <w:jc w:val="both"/>
      </w:pPr>
      <w:r>
        <w:rPr>
          <w:rFonts w:ascii="Times New Roman" w:cs="Times New Roman" w:eastAsia="Times New Roman" w:hAnsi="Times New Roman"/>
          <w:sz w:val="24"/>
          <w:szCs w:val="24"/>
        </w:rPr>
        <w:t xml:space="preserve">Large language models (hereafter “LLMs”) are increasingly replacing search engines as a source of knowledge for a growing number of people, yet they share one fundamental flaw: when they are wrong, they are often just as confident as when they are right. Scholten et al. (2024) transplant the methods of human cognitive psychology onto LLMs, and, drawing on the tradition of cognitive ecology, characterize the “cognitive psychology” of an LLM as follows: it is adept at exploiting stimulus information, yet nearly “blind” to the source, history, and validity of that information. Underlying this are the two core processes of metacognition—monitoring and control. They argue that the root of LLM hallucination is not, as is commonly assumed, errors in the labeled data; rather, it is that the entire training corpus shapes the weights, so that for an LLM, processing a piece of information is tantamount to taking it as true. As a result, the model does not assess the veracity of an information source, and further treats high-frequency and surface information as if it were reliable. This establishes that LLMs exhibit so-called “hallucination,” which is the background problem motivating the present study.</w:t>
      </w:r>
    </w:p>
    <w:p>
      <w:pPr>
        <w:spacing w:after="160" w:line="300"/>
        <w:jc w:val="both"/>
      </w:pPr>
      <w:r>
        <w:rPr>
          <w:rFonts w:ascii="Times New Roman" w:cs="Times New Roman" w:eastAsia="Times New Roman" w:hAnsi="Times New Roman"/>
          <w:sz w:val="24"/>
          <w:szCs w:val="24"/>
        </w:rPr>
        <w:t xml:space="preserve">The ability to accurately assess the boundaries of one’s own knowledge—to know what one does not know—is a foundation of how humans come to understand the world: it is precisely because we can become aware of our ignorance that we are driven to seek knowledge. Metacognitive calibration, restated, is the degree of correspondence between subjective metacognitive judgments (confidence) and objective performance (accuracy) (Flavell, 1979). As Socrates put it, “The only thing I know is that I know nothing”; metacognitive calibration is a core human capacity. And insofar as we wish LLMs to be sufficiently human-like, their metacognitive calibration likewise becomes an important dimension of evaluation. This is why comparing humans and LLMs on this capacity matters—and hallucination is a key dimension affecting the metacognitive calibration of LLMs.</w:t>
      </w:r>
    </w:p>
    <w:p>
      <w:pPr>
        <w:spacing w:after="160" w:line="300"/>
        <w:jc w:val="both"/>
      </w:pPr>
      <w:r>
        <w:rPr>
          <w:rFonts w:ascii="Times New Roman" w:cs="Times New Roman" w:eastAsia="Times New Roman" w:hAnsi="Times New Roman"/>
          <w:sz w:val="24"/>
          <w:szCs w:val="24"/>
        </w:rPr>
        <w:t xml:space="preserve">When humans delegate decisions to these systems, a system that does not know when it is wrong is more dangerous than a weak one that does know its boundaries—so the central question is: when can we trust the uncertainty it expresses? Steyvers et al. (2025) offer an instructive empirical answer. They distinguish two gaps: the calibration gap, the divergence between a model’s internal confidence and users’ perception of the model’s accuracy; and the discrimination gap, the difference between the model and users in their ability to distinguish correct from incorrect answers. Under the default-explanation condition, users systematically overestimated LLM accuracy; more tellingly, users’ ability to judge answer correctness from explanations (AUC ≈ 0.59) was only slightly above chance, whereas the model’s own internal confidence discriminated correct from incorrect answers considerably better (AUC ≈ 0.75–0.78). This contrast reveals that the problem often lies not in the model “not knowing” when it is wrong, but in its knowing while failing to convey that uncertainty faithfully through natural language. The study further found that explanation length alone inflated user confidence without improving discrimination—users mistook a surface cue such as length for a signal of reliability. The answer to “whether its expressed uncertainty can be trusted” is therefore conditional: only when the model’s uncertainty language is deliberately aligned to its internal confidence do the calibration and discrimination gaps narrow together (Steyvers et al., 2025).</w:t>
      </w:r>
    </w:p>
    <w:p>
      <w:pPr>
        <w:spacing w:after="160" w:line="300"/>
        <w:jc w:val="both"/>
      </w:pPr>
      <w:r>
        <w:rPr>
          <w:rFonts w:ascii="Times New Roman" w:cs="Times New Roman" w:eastAsia="Times New Roman" w:hAnsi="Times New Roman"/>
          <w:sz w:val="24"/>
          <w:szCs w:val="24"/>
        </w:rPr>
        <w:t xml:space="preserve">However, research on “whether machines can know what they do not know” and research on “how humans monitor their own knowledge” have almost never met within a single framework. On one side, LLM-calibration research (e.g., Kadavath et al.’s P(IK), Guo et al.’s ECE and temperature scaling) measures only whether a model’s own confidence matches its accuracy, without a human baseline—no one knows whether the machine’s performance approaches that of humans, how it differs, or how to make machines more human-like. On the other side, human metacognition research (Fleming &amp; Lau) has mature sensitivity measures, yet is never contrasted against LLMs. The closest point of convergence is Steyvers et al. (2025): they place humans and models on the same scale, but what they compare is “humans’ perception of an LLM’s answers vs. the LLM’s internal confidence”—measuring whether users can read the model’s uncertainty, rather than “humans’ metacognitive calibration about themselves vs. LLMs’ metacognitive calibration about themselves.” The real gap lies precisely here: directly comparing, on the same set of tasks and under the same metrics, the ability of humans and LLMs to each assess the boundaries of their own knowledge.</w:t>
      </w:r>
    </w:p>
    <w:p>
      <w:pPr>
        <w:spacing w:after="160" w:line="300"/>
        <w:jc w:val="both"/>
      </w:pPr>
      <w:r>
        <w:rPr>
          <w:rFonts w:ascii="Times New Roman" w:cs="Times New Roman" w:eastAsia="Times New Roman" w:hAnsi="Times New Roman"/>
          <w:i/>
          <w:iCs/>
          <w:color w:val="1C5AA8"/>
          <w:sz w:val="24"/>
          <w:szCs w:val="24"/>
        </w:rPr>
        <w:t xml:space="preserve">The essential challenge of this comparison is that the two confidences are heterogeneous quantities: a human’s confidence arises from second-order introspection, whereas a model’s “confidence” is a product of its generative process. Placing them on a single, fair scale—without letting a difference in raw ability masquerade as a difference in self-knowledge—is the core methodological difficulty this study must resolve.</w:t>
      </w:r>
    </w:p>
    <w:p>
      <w:pPr>
        <w:spacing w:after="160" w:line="300"/>
        <w:jc w:val="both"/>
      </w:pPr>
      <w:r>
        <w:rPr>
          <w:rFonts w:ascii="Times New Roman" w:cs="Times New Roman" w:eastAsia="Times New Roman" w:hAnsi="Times New Roman"/>
          <w:sz w:val="24"/>
          <w:szCs w:val="24"/>
        </w:rPr>
        <w:t xml:space="preserve">It is precisely to fill this gap that the present study proposes a symmetric framework: rather than treating humans as readers of the LLM, it places humans and LLMs as parallel respondents who face exactly the same questions and each report both an answer and a confidence. Humans and LLMs are thereby placed on a single scale that measures the same thing—each party’s ability to assess the boundaries of its own knowledge, not whether a user can detect the accuracy of the model’s information. For metrics, the study centers on the calibration curve, using the Expected Calibration Error (ECE) to quantify the divergence between “generated confidence” and “actual accuracy” for both LLMs and humans; it further introduces meta-d′ from signal detection theory to control for the difference in first-order accuracy between humans and models, so that “being accurate about oneself” is not obscured by “being accurate on the task.” The broader backdrop of this design comes from the Tong Test proposed by Zhu and colleagues, which argues that genuine general intelligence should possess self-knowledge—precisely the dimension on which current LLMs remain in doubt (Peng et al., 2024). It should be noted that this study does not attempt to answer the grand question of whether LLMs “genuinely possess” metacognition; it only seeks, at the level of behavior, to compare humans and LLMs through one quantifiable facet—confidence versus accuracy.</w:t>
      </w:r>
    </w:p>
    <w:p>
      <w:pPr>
        <w:spacing w:after="160" w:line="300"/>
        <w:jc w:val="both"/>
      </w:pPr>
      <w:r>
        <w:rPr>
          <w:rFonts w:ascii="Times New Roman" w:cs="Times New Roman" w:eastAsia="Times New Roman" w:hAnsi="Times New Roman"/>
          <w:sz w:val="24"/>
          <w:szCs w:val="24"/>
        </w:rPr>
        <w:t xml:space="preserve">Within this framework, the study tests three competing hypotheses to determine the state of LLM metacognitive calibration. Under H1, an LLM’s reported confidence is merely a stylistic artifact—it has learned wording that “sounds certain” but bears little relation to its true accuracy, so its calibration is poor and its pattern of deviation is not of the same kind as humans’. Under H2, the LLM possesses near-human metacognitive calibration—despite different underlying mechanisms, the two show highly similar calibration curves at the behavioral level. Under H3, the LLM’s calibration is partially human-like: close to humans on ordinary questions, but systematically collapsing on specific item types—especially hallucination-triggering questions involving fictional entities or “unknown unknowns,” where it is most confident exactly where it should hesitate. We expect H3 to be the most likely and the most informative: rather than the blunt claim that an LLM is “well-” or “poorly-” calibrated, H3 further locates which kind of knowledge boundary the difference appears at. It should be emphasized that the design is intended to adjudicate among these three hypotheses rather than merely report a set of calibration numbers—the item types are deliberately constructed so that the three hypotheses’ predictions come apart.</w:t>
      </w:r>
    </w:p>
    <w:p>
      <w:pPr>
        <w:spacing w:after="160" w:line="300"/>
        <w:jc w:val="both"/>
      </w:pPr>
      <w:r>
        <w:rPr>
          <w:rFonts w:ascii="Times New Roman" w:cs="Times New Roman" w:eastAsia="Times New Roman" w:hAnsi="Times New Roman"/>
          <w:i/>
          <w:iCs/>
          <w:color w:val="1C5AA8"/>
          <w:sz w:val="24"/>
          <w:szCs w:val="24"/>
        </w:rPr>
        <w:t xml:space="preserve">This study makes three contributions. Methodologically, it provides a symmetric framework that places humans and LLMs on a single scale of self-assessment. Empirically, it yields a set of results on where—and on which item types—human and LLM metacognition diverge. Conceptually, it clarifies that behavioral calibration is not the same as internal metacognition, and offers guidance on when an LLM’s expressed uncertainty can be trusted.</w:t>
      </w:r>
    </w:p>
    <w:p>
      <w:pPr>
        <w:spacing w:after="160" w:line="300"/>
        <w:jc w:val="both"/>
      </w:pPr>
      <w:r>
        <w:rPr>
          <w:rFonts w:ascii="Times New Roman" w:cs="Times New Roman" w:eastAsia="Times New Roman" w:hAnsi="Times New Roman"/>
          <w:sz w:val="24"/>
          <w:szCs w:val="24"/>
        </w:rPr>
        <w:t xml:space="preserve">The remainder of this paper is organized as follows. Section 2 reviews the two research lines of LLM calibration and human metacognition, and clarifies how this study differs from the closest prior work. Section 3 sets out the symmetric experimental design, the construction of item types, and the evaluation metrics, with particular attention to the measures that safeguard human–model comparability. Section 4 reports the calibration comparison between humans and LLMs. Section 5 discusses the significance and the boundaries of these results—what a behavioral-level difference can and cannot show—and returns to the larger question that awareness of one’s ignorance is the starting point of all inquiry. Section 6 summarizes contributions and limitations and points to future directions.</w:t>
      </w:r>
    </w:p>
    <w:p>
      <w:pPr>
        <w:pStyle w:val="Heading1"/>
        <w:spacing w:after="160" w:before="300"/>
      </w:pPr>
      <w:r>
        <w:rPr>
          <w:rFonts w:ascii="Times New Roman" w:cs="Times New Roman" w:eastAsia="Times New Roman" w:hAnsi="Times New Roman"/>
          <w:b/>
          <w:bCs/>
          <w:color w:val="000000"/>
          <w:sz w:val="30"/>
          <w:szCs w:val="30"/>
        </w:rPr>
        <w:t xml:space="preserve">2. Related Work</w:t>
      </w:r>
    </w:p>
    <w:p>
      <w:pPr>
        <w:pStyle w:val="Heading2"/>
        <w:spacing w:after="120" w:before="240"/>
      </w:pPr>
      <w:r>
        <w:rPr>
          <w:rFonts w:ascii="Times New Roman" w:cs="Times New Roman" w:eastAsia="Times New Roman" w:hAnsi="Times New Roman"/>
          <w:b/>
          <w:bCs/>
          <w:color w:val="000000"/>
          <w:sz w:val="26"/>
          <w:szCs w:val="26"/>
        </w:rPr>
        <w:t xml:space="preserve">2.1 Confidence Calibration in Large Language Models</w:t>
      </w:r>
    </w:p>
    <w:p>
      <w:pPr>
        <w:spacing w:after="160" w:line="300"/>
        <w:jc w:val="both"/>
      </w:pPr>
      <w:r>
        <w:rPr>
          <w:rFonts w:ascii="Times New Roman" w:cs="Times New Roman" w:eastAsia="Times New Roman" w:hAnsi="Times New Roman"/>
          <w:sz w:val="24"/>
          <w:szCs w:val="24"/>
        </w:rPr>
        <w:t xml:space="preserve">LLM-calibration research concerns one question: whether a model’s reported confidence matches its actual accuracy. This line has developed two main families of methods. The first calibrates on the basis of internal model signals: Guo et al. (2017) showed that modern neural networks, though highly accurate, are generally overconfident, established the Expected Calibration Error (ECE) as a standard metric, and proposed post-hoc remedies such as temperature scaling—a framework later widely transplanted onto LLMs. The second directly probes a model’s prediction about its own knowledge: Kadavath et al. (2022) trained models to predict P(True) (the probability that an answer is correct) and P(IK) (the probability that the model “knows” the answer), finding that larger models are well-calibrated when the format is appropriate, but that P(IK) calibration degrades markedly on tasks not covered in training. Geng et al. (2024), in a survey, further map the methodological spectrum from temperature scaling, through consistency/ensemble methods, to verbalized confidence (having the model state its confidence directly in words or numbers). Yet this entire line shares a common boundary: it measures only how well a model’s own confidence matches its accuracy, without a human baseline—no one knows whether the machine’s calibration is close to or far from human levels, or where the two differ.</w:t>
      </w:r>
    </w:p>
    <w:p>
      <w:pPr>
        <w:pStyle w:val="Heading2"/>
        <w:spacing w:after="120" w:before="240"/>
      </w:pPr>
      <w:r>
        <w:rPr>
          <w:rFonts w:ascii="Times New Roman" w:cs="Times New Roman" w:eastAsia="Times New Roman" w:hAnsi="Times New Roman"/>
          <w:b/>
          <w:bCs/>
          <w:color w:val="000000"/>
          <w:sz w:val="26"/>
          <w:szCs w:val="26"/>
        </w:rPr>
        <w:t xml:space="preserve">2.2 Human Metacognition and Its Measurement</w:t>
      </w:r>
    </w:p>
    <w:p>
      <w:pPr>
        <w:spacing w:after="160" w:line="300"/>
        <w:jc w:val="both"/>
      </w:pPr>
      <w:r>
        <w:rPr>
          <w:rFonts w:ascii="Times New Roman" w:cs="Times New Roman" w:eastAsia="Times New Roman" w:hAnsi="Times New Roman"/>
          <w:sz w:val="24"/>
          <w:szCs w:val="24"/>
        </w:rPr>
        <w:t xml:space="preserve">By contrast, human metacognition research has a longer tradition and more mature measurement tools. Flavell (1979) first systematically proposed the metacognition framework, distinguishing “cognition about one’s own cognition” into metacognitive knowledge, metacognitive experience, and cognitive monitoring; the monitoring component corresponds precisely to “knowing what one knows and does not know.” At the level of measurement, the key advance in this field is decoupling “metacognitive sensitivity” from “first-order task performance.” Fleming and Lau (2014) systematically reviewed these methods, of which the signal-detection-theoretic meta-d′ is especially important: it estimates “the first-order sensitivity a subject should have had, if confidence perfectly reflected all information available at the time of response,” and compares it against the subject’s actual sensitivity d′; the ratio M-ratio (meta-d′/d′) then measures metacognitive efficiency—equal to 1 when confidence exhausts all knowledge, and below 1 when there is loss. The value of this measure is that it controls for first-order ability differences: even when two subjects differ greatly in accuracy, their efficiency in “using knowledge through confidence” can be compared fairly. Yet this toolkit, honed for human psychological experiments, has almost never been used to evaluate LLMs.</w:t>
      </w:r>
    </w:p>
    <w:p>
      <w:pPr>
        <w:pStyle w:val="Heading2"/>
        <w:spacing w:after="120" w:before="240"/>
      </w:pPr>
      <w:r>
        <w:rPr>
          <w:rFonts w:ascii="Times New Roman" w:cs="Times New Roman" w:eastAsia="Times New Roman" w:hAnsi="Times New Roman"/>
          <w:b/>
          <w:bCs/>
          <w:color w:val="000000"/>
          <w:sz w:val="26"/>
          <w:szCs w:val="26"/>
        </w:rPr>
        <w:t xml:space="preserve">2.3 The Convergence of Humans and LLMs, and the Remaining Gap</w:t>
      </w:r>
    </w:p>
    <w:p>
      <w:pPr>
        <w:spacing w:after="160" w:line="300"/>
        <w:jc w:val="both"/>
      </w:pPr>
      <w:r>
        <w:rPr>
          <w:rFonts w:ascii="Times New Roman" w:cs="Times New Roman" w:eastAsia="Times New Roman" w:hAnsi="Times New Roman"/>
          <w:sz w:val="24"/>
          <w:szCs w:val="24"/>
        </w:rPr>
        <w:t xml:space="preserve">Recent work has begun to examine humans and models side by side, but each such effort touches only part of the problem. Griot et al. (2025) found, on medical-reasoning tasks, that LLMs lack reliable self-monitoring and may remain overconfident in high-stakes situations; Scholten et al. (2024) propose, at the mechanistic level, “metacognitive myopia,” noting that LLMs over-rely on surface and high-frequency information and lack meta-level processing of source reliability—both provide evidence that LLM metacognition is deficient, yet neither introduces a human control or a unified calibration quantification. Cash et al. (2024) transplant a cognitive-psychology confidence-judgment paradigm onto LLMs, a near neighbor in methodological approach, but their focus remains on the model side. The closest point of convergence is Steyvers et al. (2025): they do place humans and models on the same scale, but what they compare is “humans’ perceived confidence in an LLM’s answers” versus “the LLM’s internal confidence”—measuring whether users can read the uncertainty the model expresses, rather than humans’ and models’ respective ability to assess the boundaries of their own knowledge. The overall orientation of this line echoes the argument of Peng et al. (2024) in the Tong Test: that genuine general intelligence should possess self-knowledge, a dimension on which current LLMs remain in doubt. The real gap thus comes clearly into view: to compare directly, on the same set of tasks and under the same metrics, the ability of humans and LLMs to each assess the boundaries of their own knowledge—which is what this study seeks to fill.</w:t>
      </w:r>
    </w:p>
    <w:p>
      <w:pPr>
        <w:pStyle w:val="Heading1"/>
        <w:spacing w:after="160" w:before="300"/>
      </w:pPr>
      <w:r>
        <w:rPr>
          <w:rFonts w:ascii="Times New Roman" w:cs="Times New Roman" w:eastAsia="Times New Roman" w:hAnsi="Times New Roman"/>
          <w:b/>
          <w:bCs/>
          <w:color w:val="000000"/>
          <w:sz w:val="30"/>
          <w:szCs w:val="30"/>
        </w:rPr>
        <w:t xml:space="preserve">3. Methods</w:t>
      </w:r>
    </w:p>
    <w:p>
      <w:pPr>
        <w:pStyle w:val="Heading2"/>
        <w:spacing w:after="120" w:before="240"/>
      </w:pPr>
      <w:r>
        <w:rPr>
          <w:rFonts w:ascii="Times New Roman" w:cs="Times New Roman" w:eastAsia="Times New Roman" w:hAnsi="Times New Roman"/>
          <w:b/>
          <w:bCs/>
          <w:color w:val="000000"/>
          <w:sz w:val="26"/>
          <w:szCs w:val="26"/>
        </w:rPr>
        <w:t xml:space="preserve">3.1 Task and Experimental Design</w:t>
      </w:r>
    </w:p>
    <w:p>
      <w:pPr>
        <w:spacing w:after="160" w:line="300"/>
        <w:jc w:val="both"/>
      </w:pPr>
      <w:r>
        <w:rPr>
          <w:rFonts w:ascii="Times New Roman" w:cs="Times New Roman" w:eastAsia="Times New Roman" w:hAnsi="Times New Roman"/>
          <w:sz w:val="24"/>
          <w:szCs w:val="24"/>
        </w:rPr>
        <w:t xml:space="preserve">This study adopts a symmetric design: human participants and LLMs serve as parallel respondents, facing exactly the same set of true/false questions and reporting their confidence alongside each answer. True/false items are chosen because their correctness is objectively determinable, so that scoring does not depend on subjective judgment and humans and models are graded under the same standard.</w:t>
      </w:r>
    </w:p>
    <w:p>
      <w:pPr>
        <w:spacing w:after="160" w:line="300"/>
        <w:jc w:val="both"/>
      </w:pPr>
      <w:r>
        <w:rPr>
          <w:rFonts w:ascii="Times New Roman" w:cs="Times New Roman" w:eastAsia="Times New Roman" w:hAnsi="Times New Roman"/>
          <w:b/>
          <w:bCs/>
          <w:sz w:val="24"/>
          <w:szCs w:val="24"/>
        </w:rPr>
        <w:t xml:space="preserve">Item bank. </w:t>
      </w:r>
      <w:r>
        <w:rPr>
          <w:rFonts w:ascii="Times New Roman" w:cs="Times New Roman" w:eastAsia="Times New Roman" w:hAnsi="Times New Roman"/>
          <w:sz w:val="24"/>
          <w:szCs w:val="24"/>
        </w:rPr>
        <w:t xml:space="preserve">The bank comprises 200–320 items spanning four item types in roughly equal numbers: (1) ordinary items—everyday common sense and encyclopedic knowledge, with time-sensitive “viral” internet items folded in as a difficulty variant of the ordinary type rather than a separate category, since they may already exist in model training data; (2) discipline-specific items—specialized knowledge from various academic fields; (3) trap items—statements that appear plausible on the surface but contain misleading content; and (4) hallucination-triggering items—built around fictional entities or non-existent facts to induce “unknown-unknown” situations, in which a respondent ought to recognize that it cannot possibly know, yet may fabricate a confident answer. The four types are deliberately constructed so that the predictions of the three hypotheses (H1–H3) come apart: if a difference appears only on a particular item type, the exact locus of metacognitive collapse can be identified.</w:t>
      </w:r>
    </w:p>
    <w:p>
      <w:pPr>
        <w:spacing w:after="160" w:line="300"/>
        <w:jc w:val="both"/>
      </w:pPr>
      <w:r>
        <w:rPr>
          <w:rFonts w:ascii="Times New Roman" w:cs="Times New Roman" w:eastAsia="Times New Roman" w:hAnsi="Times New Roman"/>
          <w:b/>
          <w:bCs/>
          <w:sz w:val="24"/>
          <w:szCs w:val="24"/>
        </w:rPr>
        <w:t xml:space="preserve">Difficulty stratification. </w:t>
      </w:r>
      <w:r>
        <w:rPr>
          <w:rFonts w:ascii="Times New Roman" w:cs="Times New Roman" w:eastAsia="Times New Roman" w:hAnsi="Times New Roman"/>
          <w:sz w:val="24"/>
          <w:szCs w:val="24"/>
        </w:rPr>
        <w:t xml:space="preserve">Given the wide capability span of the model tier (from small open-source models to frontier models), an unbalanced difficulty would drive one side to answer nearly all items correctly or incorrectly, distorting or even precluding estimation of d′ and meta-d′. Each item type is therefore difficulty-stratified to deliberately span a range, ensuring that strong models still err and weak models still get some items right, thereby preserving an estimable distribution of correct and incorrect responses for the signal-detection metrics.</w:t>
      </w:r>
    </w:p>
    <w:p>
      <w:pPr>
        <w:spacing w:after="160" w:line="300"/>
        <w:jc w:val="both"/>
      </w:pPr>
      <w:r>
        <w:rPr>
          <w:rFonts w:ascii="Times New Roman" w:cs="Times New Roman" w:eastAsia="Times New Roman" w:hAnsi="Times New Roman"/>
          <w:b/>
          <w:bCs/>
          <w:sz w:val="24"/>
          <w:szCs w:val="24"/>
        </w:rPr>
        <w:t xml:space="preserve">Confidence elicitation. </w:t>
      </w:r>
      <w:r>
        <w:rPr>
          <w:rFonts w:ascii="Times New Roman" w:cs="Times New Roman" w:eastAsia="Times New Roman" w:hAnsi="Times New Roman"/>
          <w:sz w:val="24"/>
          <w:szCs w:val="24"/>
        </w:rPr>
        <w:t xml:space="preserve">Both humans and models report, retrospectively (after answering), their confidence in that answer on the same 5-point discrete scale: ① pure guess, ② not very sure, ③ half-and-half, ④ fairly sure, ⑤ very sure. Both sides use identical scale points and wording. It should be made explicit that this study defines its object of measurement at the behavioral level—the behavior of “retrospectively and subjectively reported confidence” itself; the possibility that a report deviates from any underlying internal state is, as a behavioral phenomenon, symmetric across humans and models. The study neither assumes nor needs to assume that equivalent internal mechanisms underlie the two (see §3.4 and the Discussion).</w:t>
      </w:r>
    </w:p>
    <w:p>
      <w:pPr>
        <w:spacing w:after="160" w:line="300"/>
        <w:jc w:val="both"/>
      </w:pPr>
      <w:r>
        <w:rPr>
          <w:rFonts w:ascii="Times New Roman" w:cs="Times New Roman" w:eastAsia="Times New Roman" w:hAnsi="Times New Roman"/>
          <w:sz w:val="24"/>
          <w:szCs w:val="24"/>
        </w:rPr>
        <w:t xml:space="preserve">Although “whether one possesses a given piece of knowledge” may, under certain epistemological positions, be binary in nature, what this study measures is not knowledge itself but a respondent’s assessment of its own knowledge state; that assessment is widely documented in psychology as graded, and the study’s core metric, meta-d′, relies on graded information for estimation. The number of scale points is not an arbitrary preference but is driven by what meta-d′ requires: meta-d′ treats each confidence level as a point on a Type-2 ROC curve and infers metacognitive sensitivity from the shape of that curve, so too few levels (e.g., a binary scale) leave too few sampling points and yield unstable estimates, whereas too many levels exceed what respondents can use consistently. A 5-point scale is therefore adopted as the compromise—it provides one more ROC sampling point than a 4-point scale, improving estimation stability, while remaining within the range a human can use reliably. Its two ends correspond to the “know / do-not-know” extremes, while the middle three points capture the graded uncertain region of the assessment.</w:t>
      </w:r>
    </w:p>
    <w:p>
      <w:pPr>
        <w:pStyle w:val="Heading2"/>
        <w:spacing w:after="120" w:before="240"/>
      </w:pPr>
      <w:r>
        <w:rPr>
          <w:rFonts w:ascii="Times New Roman" w:cs="Times New Roman" w:eastAsia="Times New Roman" w:hAnsi="Times New Roman"/>
          <w:b/>
          <w:bCs/>
          <w:color w:val="000000"/>
          <w:sz w:val="26"/>
          <w:szCs w:val="26"/>
        </w:rPr>
        <w:t xml:space="preserve">3.2 Participants and Models</w:t>
      </w:r>
    </w:p>
    <w:p>
      <w:pPr>
        <w:spacing w:after="160" w:line="300"/>
        <w:jc w:val="both"/>
      </w:pPr>
      <w:r>
        <w:rPr>
          <w:rFonts w:ascii="Times New Roman" w:cs="Times New Roman" w:eastAsia="Times New Roman" w:hAnsi="Times New Roman"/>
          <w:b/>
          <w:bCs/>
          <w:sz w:val="24"/>
          <w:szCs w:val="24"/>
        </w:rPr>
        <w:t xml:space="preserve">Human participants. </w:t>
      </w:r>
      <w:r>
        <w:rPr>
          <w:rFonts w:ascii="Times New Roman" w:cs="Times New Roman" w:eastAsia="Times New Roman" w:hAnsi="Times New Roman"/>
          <w:sz w:val="24"/>
          <w:szCs w:val="24"/>
        </w:rPr>
        <w:t xml:space="preserve">40–60 participants are recruited; each answers 40 items randomly drawn from the bank—10 from each of the four item types—so that everyone covers all types without excessive fatigue. Participants provide a true/false judgment and a 4-point confidence for each item.</w:t>
      </w:r>
    </w:p>
    <w:p>
      <w:pPr>
        <w:spacing w:after="160" w:line="300"/>
        <w:jc w:val="both"/>
      </w:pPr>
      <w:r>
        <w:rPr>
          <w:rFonts w:ascii="Times New Roman" w:cs="Times New Roman" w:eastAsia="Times New Roman" w:hAnsi="Times New Roman"/>
          <w:b/>
          <w:bCs/>
          <w:sz w:val="24"/>
          <w:szCs w:val="24"/>
        </w:rPr>
        <w:t xml:space="preserve">Model tier. </w:t>
      </w:r>
      <w:r>
        <w:rPr>
          <w:rFonts w:ascii="Times New Roman" w:cs="Times New Roman" w:eastAsia="Times New Roman" w:hAnsi="Times New Roman"/>
          <w:sz w:val="24"/>
          <w:szCs w:val="24"/>
        </w:rPr>
        <w:t xml:space="preserve">To examine both “whether calibration varies with capability” and “whether it varies by vendor/architecture,” the model tier spans a range of LLMs from small to frontier across multiple vendors, including small models from the Gemma and Qwen families, as well as several frontier models accessed via API (e.g., GPT, Claude Opus, Qwen, DeepSeek). Unlike humans, models are not subject to fatigue, so each model answers the entire item bank to obtain high-precision group-level estimates. All models use a fixed prompt template to control prompt sensitivity—since the same item under different wording changes a model’s confidence, a fixed template removes this confound.</w:t>
      </w:r>
    </w:p>
    <w:p>
      <w:pPr>
        <w:spacing w:after="140" w:line="288"/>
      </w:pPr>
      <w:r>
        <w:rPr>
          <w:rFonts w:ascii="Times New Roman" w:cs="Times New Roman" w:eastAsia="Times New Roman" w:hAnsi="Times New Roman"/>
          <w:i/>
          <w:iCs/>
          <w:color w:val="808080"/>
          <w:sz w:val="22"/>
          <w:szCs w:val="22"/>
        </w:rPr>
        <w:t xml:space="preserve">[Note: the exact participant count and item-bank size should be fixed to definite numbers before submission; ranges are placeholders. Also to decide: model sampling temperature (temperature = 0 for determinism/reproducibility, vs. retaining randomness with multiple samples per item).]</w:t>
      </w:r>
    </w:p>
    <w:p>
      <w:pPr>
        <w:pStyle w:val="Heading2"/>
        <w:spacing w:after="120" w:before="240"/>
      </w:pPr>
      <w:r>
        <w:rPr>
          <w:rFonts w:ascii="Times New Roman" w:cs="Times New Roman" w:eastAsia="Times New Roman" w:hAnsi="Times New Roman"/>
          <w:b/>
          <w:bCs/>
          <w:color w:val="000000"/>
          <w:sz w:val="26"/>
          <w:szCs w:val="26"/>
        </w:rPr>
        <w:t xml:space="preserve">3.3 Evaluation Metrics</w:t>
      </w:r>
    </w:p>
    <w:p>
      <w:pPr>
        <w:spacing w:after="160" w:line="300"/>
        <w:jc w:val="both"/>
      </w:pPr>
      <w:r>
        <w:rPr>
          <w:rFonts w:ascii="Times New Roman" w:cs="Times New Roman" w:eastAsia="Times New Roman" w:hAnsi="Times New Roman"/>
          <w:sz w:val="24"/>
          <w:szCs w:val="24"/>
        </w:rPr>
        <w:t xml:space="preserve">The study uses two complementary metrics, characterizing calibration and metacognitive efficiency respectively.</w:t>
      </w:r>
    </w:p>
    <w:p>
      <w:pPr>
        <w:spacing w:after="160" w:line="300"/>
        <w:jc w:val="both"/>
      </w:pPr>
      <w:r>
        <w:rPr>
          <w:rFonts w:ascii="Times New Roman" w:cs="Times New Roman" w:eastAsia="Times New Roman" w:hAnsi="Times New Roman"/>
          <w:b/>
          <w:bCs/>
          <w:sz w:val="24"/>
          <w:szCs w:val="24"/>
        </w:rPr>
        <w:t xml:space="preserve">Expected Calibration Error (ECE). </w:t>
      </w:r>
      <w:r>
        <w:rPr>
          <w:rFonts w:ascii="Times New Roman" w:cs="Times New Roman" w:eastAsia="Times New Roman" w:hAnsi="Times New Roman"/>
          <w:sz w:val="24"/>
          <w:szCs w:val="24"/>
        </w:rPr>
        <w:t xml:space="preserve">ECE quantifies the divergence between each respondent’s (or group’s) stated confidence and actual accuracy (Guo et al., 2017): trials are binned by confidence, the absolute difference between mean confidence and actual accuracy is computed per bin, and these are averaged weighted by the number of trials in each bin. To compute ECE, the five confidence levels must be mapped to numerical confidence values. Crucially, because the task consists of true/false items, the lower bound of confidence is not 0% but 50%: a pure guess on a binary item is expected to be correct about half the time. Mapping “pure guess” to 0% would therefore make the lowest level appear severely under-confident (stated 0%, actual ≈50%) and inflate ECE spuriously. The five levels are accordingly mapped to equally spaced values from the guessing floor to full certainty—① pure guess = 50%, ② not very sure = 62.5%, ③ half-and-half = 75%, ④ fairly sure = 87.5%, ⑤ very sure = 100%—so that the mapping is consistent with the probability structure of a binary task. This mapping is stated explicitly to make ECE reproducible. ECE corresponds intuitively to how far the calibration curve departs from the diagonal, and serves as the primary calibration metric and the basis for plotting the calibration curves of humans and each model.</w:t>
      </w:r>
    </w:p>
    <w:p>
      <w:pPr>
        <w:spacing w:after="160" w:line="300"/>
        <w:jc w:val="both"/>
      </w:pPr>
      <w:r>
        <w:rPr>
          <w:rFonts w:ascii="Times New Roman" w:cs="Times New Roman" w:eastAsia="Times New Roman" w:hAnsi="Times New Roman"/>
          <w:b/>
          <w:bCs/>
          <w:sz w:val="24"/>
          <w:szCs w:val="24"/>
        </w:rPr>
        <w:t xml:space="preserve">Metacognitive efficiency (meta-d′ / M-ratio). </w:t>
      </w:r>
      <w:r>
        <w:rPr>
          <w:rFonts w:ascii="Times New Roman" w:cs="Times New Roman" w:eastAsia="Times New Roman" w:hAnsi="Times New Roman"/>
          <w:sz w:val="24"/>
          <w:szCs w:val="24"/>
        </w:rPr>
        <w:t xml:space="preserve">A built-in limitation of ECE is that it is affected by first-order ability (accuracy)—a high-ability respondent may show low ECE even with mediocre monitoring. To decouple “being accurate about oneself” from “being accurate on the task,” the study introduces meta-d′ from signal detection theory (Fleming &amp; Lau, 2014): it estimates the first-order sensitivity a respondent should have had if confidence perfectly reflected all information available at response time, and compares it to actual sensitivity d′; the ratio M-ratio (meta-d′/d′) measures metacognitive efficiency—equal to 1 when confidence exhausts all knowledge, below 1 when there is loss. Because M-ratio controls for first-order ability differences, humans and models with very different accuracy can still be compared fairly on metacognitive efficiency, which is exactly what this study’s symmetric aim requires.</w:t>
      </w:r>
    </w:p>
    <w:p>
      <w:pPr>
        <w:spacing w:after="160" w:line="300"/>
        <w:jc w:val="both"/>
      </w:pPr>
      <w:r>
        <w:rPr>
          <w:rFonts w:ascii="Times New Roman" w:cs="Times New Roman" w:eastAsia="Times New Roman" w:hAnsi="Times New Roman"/>
          <w:b/>
          <w:bCs/>
          <w:sz w:val="24"/>
          <w:szCs w:val="24"/>
        </w:rPr>
        <w:t xml:space="preserve">Group-level estimation. </w:t>
      </w:r>
      <w:r>
        <w:rPr>
          <w:rFonts w:ascii="Times New Roman" w:cs="Times New Roman" w:eastAsia="Times New Roman" w:hAnsi="Times New Roman"/>
          <w:sz w:val="24"/>
          <w:szCs w:val="24"/>
        </w:rPr>
        <w:t xml:space="preserve">Because the binary outcome of true/false items carries limited information, and meta-d′ requires sufficient correct and incorrect trials within each confidence level, per-participant item counts are insufficient for stable individual-level estimation. The study therefore does not estimate meta-d′ at the individual level, but uses a hierarchical Bayesian approach (HMeta-d) to estimate at the group level: pooling all trials within a group (the human group, or a given model) to estimate that group’s M-ratio. This fits naturally with the study’s “humans vs. each model” between-group comparison; the reported values are the group-level M-ratios of the human group and each model, not individual values. Estimation uses an existing implementation (e.g., metadPy / HMeta-d) rather than a bespoke one.</w:t>
      </w:r>
    </w:p>
    <w:p>
      <w:pPr>
        <w:pStyle w:val="Heading2"/>
        <w:spacing w:after="120" w:before="240"/>
      </w:pPr>
      <w:r>
        <w:rPr>
          <w:rFonts w:ascii="Times New Roman" w:cs="Times New Roman" w:eastAsia="Times New Roman" w:hAnsi="Times New Roman"/>
          <w:b/>
          <w:bCs/>
          <w:color w:val="000000"/>
          <w:sz w:val="26"/>
          <w:szCs w:val="26"/>
        </w:rPr>
        <w:t xml:space="preserve">3.4 Safeguarding Comparability</w:t>
      </w:r>
    </w:p>
    <w:p>
      <w:pPr>
        <w:spacing w:after="160" w:line="300"/>
        <w:jc w:val="both"/>
      </w:pPr>
      <w:r>
        <w:rPr>
          <w:rFonts w:ascii="Times New Roman" w:cs="Times New Roman" w:eastAsia="Times New Roman" w:hAnsi="Times New Roman"/>
          <w:sz w:val="24"/>
          <w:szCs w:val="24"/>
        </w:rPr>
        <w:t xml:space="preserve">Since the study’s central claim is a “symmetric comparison” of humans and models, comparability is the crux of the design and is controlled in the following respects: (1) same items—humans and models answer exactly the same questions; (2) same modality—all items are presented as text, introducing no visual or other modality the model cannot process; (3) same confidence elicitation—both report on the same 4-point scale, retrospectively; and (4) fixed prompting—the model side uses a unified template, ruling out the confound of prompt wording.</w:t>
      </w:r>
    </w:p>
    <w:p>
      <w:pPr>
        <w:spacing w:after="160" w:line="300"/>
        <w:jc w:val="both"/>
      </w:pPr>
      <w:r>
        <w:rPr>
          <w:rFonts w:ascii="Times New Roman" w:cs="Times New Roman" w:eastAsia="Times New Roman" w:hAnsi="Times New Roman"/>
          <w:sz w:val="24"/>
          <w:szCs w:val="24"/>
        </w:rPr>
        <w:t xml:space="preserve">The boundary of this design must be stated explicitly: the above measures safeguard behavioral-level comparability—humans and models are elicited for the same behavior (retrospectively reporting subjective confidence on the same scale). But the mechanisms producing that report are not symmetric: a human’s confidence arises from genuine second-order introspection, whereas a model’s confidence is produced by its generative process. What this study can therefore claim is a behavioral-level difference in metacognitive calibration, not the equivalence or absence of an internal metacognitive mechanism; this boundary is developed further in the Discussion.</w:t>
      </w:r>
    </w:p>
    <w:p>
      <w:pPr>
        <w:pStyle w:val="Heading2"/>
        <w:spacing w:after="120" w:before="240"/>
      </w:pPr>
      <w:r>
        <w:rPr>
          <w:rFonts w:ascii="Times New Roman" w:cs="Times New Roman" w:eastAsia="Times New Roman" w:hAnsi="Times New Roman"/>
          <w:b/>
          <w:bCs/>
          <w:color w:val="000000"/>
          <w:sz w:val="26"/>
          <w:szCs w:val="26"/>
        </w:rPr>
        <w:t xml:space="preserve">3.5 Auxiliary Analysis: Word–Deed Consistency</w:t>
      </w:r>
    </w:p>
    <w:p>
      <w:pPr>
        <w:spacing w:after="160" w:line="300"/>
        <w:jc w:val="both"/>
      </w:pPr>
      <w:r>
        <w:rPr>
          <w:rFonts w:ascii="Times New Roman" w:cs="Times New Roman" w:eastAsia="Times New Roman" w:hAnsi="Times New Roman"/>
          <w:sz w:val="24"/>
          <w:szCs w:val="24"/>
        </w:rPr>
        <w:t xml:space="preserve">As a supplement to the main analysis, for models that can return token probabilities (logprobs), the study additionally collects a probability-based confidence, to examine whether the same model’s “verbalized subjective confidence” and “internal token probability” agree. This analysis does not enter the main human–model comparison; it answers a separate question: does a model’s “expressed confidence” reflect its internal signal? If the two agree, the credibility of the verbalized data in the main analysis is strengthened; if they disagree—that is, the model is internally “hesitant” yet linguistically confident—this itself constitutes a noteworthy finding, echoing Steyvers et al.’s (2025) observation that the model “knows but does not convey.” Because some APIs do not expose logprobs, this auxiliary analysis is performed only for supported models.</w:t>
      </w:r>
    </w:p>
    <w:p>
      <w:pPr>
        <w:pStyle w:val="Heading1"/>
        <w:spacing w:after="160" w:before="300"/>
      </w:pPr>
      <w:r>
        <w:rPr>
          <w:rFonts w:ascii="Times New Roman" w:cs="Times New Roman" w:eastAsia="Times New Roman" w:hAnsi="Times New Roman"/>
          <w:b/>
          <w:bCs/>
          <w:color w:val="000000"/>
          <w:sz w:val="30"/>
          <w:szCs w:val="30"/>
        </w:rPr>
        <w:t xml:space="preserve">4. Results</w:t>
      </w:r>
    </w:p>
    <w:p>
      <w:pPr>
        <w:spacing w:after="140" w:line="288"/>
      </w:pPr>
      <w:r>
        <w:rPr>
          <w:rFonts w:ascii="Times New Roman" w:cs="Times New Roman" w:eastAsia="Times New Roman" w:hAnsi="Times New Roman"/>
          <w:i/>
          <w:iCs/>
          <w:color w:val="808080"/>
          <w:sz w:val="22"/>
          <w:szCs w:val="22"/>
        </w:rPr>
        <w:t xml:space="preserve">[Outline — to be written once data are collected. Experiment design should meet the argument in the Introduction.]</w:t>
      </w:r>
    </w:p>
    <w:p>
      <w:pPr>
        <w:pStyle w:val="ListParagraph"/>
        <w:numPr>
          <w:ilvl w:val="0"/>
          <w:numId w:val="2"/>
        </w:numPr>
        <w:spacing w:after="100" w:line="288"/>
      </w:pPr>
      <w:r>
        <w:rPr>
          <w:rFonts w:ascii="Times New Roman" w:cs="Times New Roman" w:eastAsia="Times New Roman" w:hAnsi="Times New Roman"/>
          <w:sz w:val="24"/>
          <w:szCs w:val="24"/>
        </w:rPr>
        <w:t xml:space="preserve">Overview of results: brief summary of the key findings (human vs. LLM calibration).</w:t>
      </w:r>
    </w:p>
    <w:p>
      <w:pPr>
        <w:pStyle w:val="ListParagraph"/>
        <w:numPr>
          <w:ilvl w:val="0"/>
          <w:numId w:val="2"/>
        </w:numPr>
        <w:spacing w:after="100" w:line="288"/>
      </w:pPr>
      <w:r>
        <w:rPr>
          <w:rFonts w:ascii="Times New Roman" w:cs="Times New Roman" w:eastAsia="Times New Roman" w:hAnsi="Times New Roman"/>
          <w:sz w:val="24"/>
          <w:szCs w:val="24"/>
        </w:rPr>
        <w:t xml:space="preserve">Detailed analysis:</w:t>
      </w:r>
    </w:p>
    <w:p>
      <w:pPr>
        <w:pStyle w:val="ListParagraph"/>
        <w:numPr>
          <w:ilvl w:val="1"/>
          <w:numId w:val="2"/>
        </w:numPr>
        <w:spacing w:after="100" w:line="288"/>
      </w:pPr>
      <w:r>
        <w:rPr>
          <w:rFonts w:ascii="Times New Roman" w:cs="Times New Roman" w:eastAsia="Times New Roman" w:hAnsi="Times New Roman"/>
          <w:sz w:val="24"/>
          <w:szCs w:val="24"/>
        </w:rPr>
        <w:t xml:space="preserve">Calibration curves and ECE for the human group and each model; which of H1/H2/H3 is supported.</w:t>
      </w:r>
    </w:p>
    <w:p>
      <w:pPr>
        <w:pStyle w:val="ListParagraph"/>
        <w:numPr>
          <w:ilvl w:val="1"/>
          <w:numId w:val="2"/>
        </w:numPr>
        <w:spacing w:after="100" w:line="288"/>
      </w:pPr>
      <w:r>
        <w:rPr>
          <w:rFonts w:ascii="Times New Roman" w:cs="Times New Roman" w:eastAsia="Times New Roman" w:hAnsi="Times New Roman"/>
          <w:sz w:val="24"/>
          <w:szCs w:val="24"/>
        </w:rPr>
        <w:t xml:space="preserve">Group-level M-ratio comparison (humans vs. each model).</w:t>
      </w:r>
    </w:p>
    <w:p>
      <w:pPr>
        <w:pStyle w:val="ListParagraph"/>
        <w:numPr>
          <w:ilvl w:val="1"/>
          <w:numId w:val="2"/>
        </w:numPr>
        <w:spacing w:after="100" w:line="288"/>
      </w:pPr>
      <w:r>
        <w:rPr>
          <w:rFonts w:ascii="Times New Roman" w:cs="Times New Roman" w:eastAsia="Times New Roman" w:hAnsi="Times New Roman"/>
          <w:sz w:val="24"/>
          <w:szCs w:val="24"/>
        </w:rPr>
        <w:t xml:space="preserve">Breakdown by item type — locating where divergence appears (esp. hallucination-triggering items).</w:t>
      </w:r>
    </w:p>
    <w:p>
      <w:pPr>
        <w:pStyle w:val="ListParagraph"/>
        <w:numPr>
          <w:ilvl w:val="0"/>
          <w:numId w:val="2"/>
        </w:numPr>
        <w:spacing w:after="100" w:line="288"/>
      </w:pPr>
      <w:r>
        <w:rPr>
          <w:rFonts w:ascii="Times New Roman" w:cs="Times New Roman" w:eastAsia="Times New Roman" w:hAnsi="Times New Roman"/>
          <w:sz w:val="24"/>
          <w:szCs w:val="24"/>
        </w:rPr>
        <w:t xml:space="preserve">Comparison across the model tier: does calibration vary with capability and/or vendor?</w:t>
      </w:r>
    </w:p>
    <w:p>
      <w:pPr>
        <w:pStyle w:val="ListParagraph"/>
        <w:numPr>
          <w:ilvl w:val="0"/>
          <w:numId w:val="2"/>
        </w:numPr>
        <w:spacing w:after="100" w:line="288"/>
      </w:pPr>
      <w:r>
        <w:rPr>
          <w:rFonts w:ascii="Times New Roman" w:cs="Times New Roman" w:eastAsia="Times New Roman" w:hAnsi="Times New Roman"/>
          <w:sz w:val="24"/>
          <w:szCs w:val="24"/>
        </w:rPr>
        <w:t xml:space="preserve">Auxiliary: verbalized vs. logprob confidence (word–deed consistency) for supported models.</w:t>
      </w:r>
    </w:p>
    <w:p>
      <w:pPr>
        <w:pStyle w:val="ListParagraph"/>
        <w:numPr>
          <w:ilvl w:val="0"/>
          <w:numId w:val="2"/>
        </w:numPr>
        <w:spacing w:after="100" w:line="288"/>
      </w:pPr>
      <w:r>
        <w:rPr>
          <w:rFonts w:ascii="Times New Roman" w:cs="Times New Roman" w:eastAsia="Times New Roman" w:hAnsi="Times New Roman"/>
          <w:sz w:val="24"/>
          <w:szCs w:val="24"/>
        </w:rPr>
        <w:t xml:space="preserve">Anomalies or unexpected findings, with possible explanations.</w:t>
      </w:r>
    </w:p>
    <w:p>
      <w:pPr>
        <w:spacing w:after="140" w:line="288"/>
      </w:pPr>
      <w:r>
        <w:rPr>
          <w:rFonts w:ascii="Times New Roman" w:cs="Times New Roman" w:eastAsia="Times New Roman" w:hAnsi="Times New Roman"/>
          <w:i/>
          <w:iCs/>
          <w:color w:val="808080"/>
          <w:sz w:val="22"/>
          <w:szCs w:val="22"/>
        </w:rPr>
        <w:t xml:space="preserve">[If no data yet, use a clearly labeled illustrative figure (“Conceptual illustration — not measured data”) to show the analysis pipeline, as in the mid-term slides.]</w:t>
      </w:r>
    </w:p>
    <w:p>
      <w:pPr>
        <w:pStyle w:val="Heading1"/>
        <w:spacing w:after="160" w:before="300"/>
      </w:pPr>
      <w:r>
        <w:rPr>
          <w:rFonts w:ascii="Times New Roman" w:cs="Times New Roman" w:eastAsia="Times New Roman" w:hAnsi="Times New Roman"/>
          <w:b/>
          <w:bCs/>
          <w:color w:val="000000"/>
          <w:sz w:val="30"/>
          <w:szCs w:val="30"/>
        </w:rPr>
        <w:t xml:space="preserve">5. Discussion</w:t>
      </w:r>
    </w:p>
    <w:p>
      <w:pPr>
        <w:spacing w:after="140" w:line="288"/>
      </w:pPr>
      <w:r>
        <w:rPr>
          <w:rFonts w:ascii="Times New Roman" w:cs="Times New Roman" w:eastAsia="Times New Roman" w:hAnsi="Times New Roman"/>
          <w:i/>
          <w:iCs/>
          <w:color w:val="808080"/>
          <w:sz w:val="22"/>
          <w:szCs w:val="22"/>
        </w:rPr>
        <w:t xml:space="preserve">[Outline — interpretation, honest layering of claims, and return to the larger significance.]</w:t>
      </w:r>
    </w:p>
    <w:p>
      <w:pPr>
        <w:pStyle w:val="ListParagraph"/>
        <w:numPr>
          <w:ilvl w:val="0"/>
          <w:numId w:val="2"/>
        </w:numPr>
        <w:spacing w:after="100" w:line="288"/>
      </w:pPr>
      <w:r>
        <w:rPr>
          <w:rFonts w:ascii="Times New Roman" w:cs="Times New Roman" w:eastAsia="Times New Roman" w:hAnsi="Times New Roman"/>
          <w:sz w:val="24"/>
          <w:szCs w:val="24"/>
        </w:rPr>
        <w:t xml:space="preserve">Interpret the results in dialogue with prior work (Steyvers, Griot, Scholten).</w:t>
      </w:r>
    </w:p>
    <w:p>
      <w:pPr>
        <w:pStyle w:val="ListParagraph"/>
        <w:numPr>
          <w:ilvl w:val="0"/>
          <w:numId w:val="2"/>
        </w:numPr>
        <w:spacing w:after="100" w:line="288"/>
      </w:pPr>
      <w:r>
        <w:rPr>
          <w:rFonts w:ascii="Times New Roman" w:cs="Times New Roman" w:eastAsia="Times New Roman" w:hAnsi="Times New Roman"/>
          <w:sz w:val="24"/>
          <w:szCs w:val="24"/>
        </w:rPr>
        <w:t xml:space="preserve">What can and cannot be shown: behavioral-level difference (yes) vs. internal metacognition (no — the black-box ceiling); frame this boundary itself as a contribution.</w:t>
      </w:r>
    </w:p>
    <w:p>
      <w:pPr>
        <w:pStyle w:val="ListParagraph"/>
        <w:numPr>
          <w:ilvl w:val="0"/>
          <w:numId w:val="2"/>
        </w:numPr>
        <w:spacing w:after="100" w:line="288"/>
      </w:pPr>
      <w:r>
        <w:rPr>
          <w:rFonts w:ascii="Times New Roman" w:cs="Times New Roman" w:eastAsia="Times New Roman" w:hAnsi="Times New Roman"/>
          <w:sz w:val="24"/>
          <w:szCs w:val="24"/>
        </w:rPr>
        <w:t xml:space="preserve">Return to “metacognition is a precondition for inquiry” (Flavell; Tong Test).</w:t>
      </w:r>
    </w:p>
    <w:p>
      <w:pPr>
        <w:pStyle w:val="ListParagraph"/>
        <w:numPr>
          <w:ilvl w:val="0"/>
          <w:numId w:val="2"/>
        </w:numPr>
        <w:spacing w:after="100" w:line="288"/>
      </w:pPr>
      <w:r>
        <w:rPr>
          <w:rFonts w:ascii="Times New Roman" w:cs="Times New Roman" w:eastAsia="Times New Roman" w:hAnsi="Times New Roman"/>
          <w:sz w:val="24"/>
          <w:szCs w:val="24"/>
        </w:rPr>
        <w:t xml:space="preserve">Creativity / breaking with common sense — confined to this section as an extension, not part of the measured scope.</w:t>
      </w:r>
    </w:p>
    <w:p>
      <w:pPr>
        <w:pStyle w:val="Heading1"/>
        <w:spacing w:after="160" w:before="300"/>
      </w:pPr>
      <w:r>
        <w:rPr>
          <w:rFonts w:ascii="Times New Roman" w:cs="Times New Roman" w:eastAsia="Times New Roman" w:hAnsi="Times New Roman"/>
          <w:b/>
          <w:bCs/>
          <w:color w:val="000000"/>
          <w:sz w:val="30"/>
          <w:szCs w:val="30"/>
        </w:rPr>
        <w:t xml:space="preserve">6. Conclusion, Limitations, and Future Work</w:t>
      </w:r>
    </w:p>
    <w:p>
      <w:pPr>
        <w:spacing w:after="140" w:line="288"/>
      </w:pPr>
      <w:r>
        <w:rPr>
          <w:rFonts w:ascii="Times New Roman" w:cs="Times New Roman" w:eastAsia="Times New Roman" w:hAnsi="Times New Roman"/>
          <w:i/>
          <w:iCs/>
          <w:color w:val="808080"/>
          <w:sz w:val="22"/>
          <w:szCs w:val="22"/>
        </w:rPr>
        <w:t xml:space="preserve">[Outline for conclusion and limitations — to be expanded.]</w:t>
      </w:r>
    </w:p>
    <w:p>
      <w:pPr>
        <w:pStyle w:val="ListParagraph"/>
        <w:numPr>
          <w:ilvl w:val="0"/>
          <w:numId w:val="2"/>
        </w:numPr>
        <w:spacing w:after="100" w:line="288"/>
      </w:pPr>
      <w:r>
        <w:rPr>
          <w:rFonts w:ascii="Times New Roman" w:cs="Times New Roman" w:eastAsia="Times New Roman" w:hAnsi="Times New Roman"/>
          <w:sz w:val="24"/>
          <w:szCs w:val="24"/>
        </w:rPr>
        <w:t xml:space="preserve">Contributions on three levels: methodological / empirical / conceptual.</w:t>
      </w:r>
    </w:p>
    <w:p>
      <w:pPr>
        <w:pStyle w:val="ListParagraph"/>
        <w:numPr>
          <w:ilvl w:val="0"/>
          <w:numId w:val="2"/>
        </w:numPr>
        <w:spacing w:after="100" w:line="288"/>
      </w:pPr>
      <w:r>
        <w:rPr>
          <w:rFonts w:ascii="Times New Roman" w:cs="Times New Roman" w:eastAsia="Times New Roman" w:hAnsi="Times New Roman"/>
          <w:sz w:val="24"/>
          <w:szCs w:val="24"/>
        </w:rPr>
        <w:t xml:space="preserve">Limitations: comparability; behavioral not internal; sample size; prompt sensitivity.</w:t>
      </w:r>
    </w:p>
    <w:p>
      <w:pPr>
        <w:pStyle w:val="Heading2"/>
        <w:spacing w:after="120" w:before="240"/>
      </w:pPr>
      <w:r>
        <w:rPr>
          <w:rFonts w:ascii="Times New Roman" w:cs="Times New Roman" w:eastAsia="Times New Roman" w:hAnsi="Times New Roman"/>
          <w:b/>
          <w:bCs/>
          <w:color w:val="000000"/>
          <w:sz w:val="26"/>
          <w:szCs w:val="26"/>
        </w:rPr>
        <w:t xml:space="preserve">6.1 Future Work: From Calibration to Knowing What One Does Not Know</w:t>
      </w:r>
    </w:p>
    <w:p>
      <w:pPr>
        <w:spacing w:after="160" w:line="300"/>
        <w:jc w:val="both"/>
      </w:pPr>
      <w:r>
        <w:rPr>
          <w:rFonts w:ascii="Times New Roman" w:cs="Times New Roman" w:eastAsia="Times New Roman" w:hAnsi="Times New Roman"/>
          <w:sz w:val="24"/>
          <w:szCs w:val="24"/>
        </w:rPr>
        <w:t xml:space="preserve">A conceptual gap should be stated plainly. The construct this study measures—metacognitive calibration, the correspondence between confidence and accuracy—is not identical to the construct that ultimately motivates the work: knowing what one does not know. Calibration is a graded, continuous correspondence measured over items a respondent does attempt; “knowing what one does not know” is closer to boundary awareness—the capacity to recognize that a question falls outside one’s knowledge altogether. A respondent can be well-calibrated on items within its competence yet have no awareness of an “unknown unknown.” These two are closely related but not the same, and the present study does not claim to have collapsed the distance between them.</w:t>
      </w:r>
    </w:p>
    <w:p>
      <w:pPr>
        <w:spacing w:after="160" w:line="300"/>
        <w:jc w:val="both"/>
      </w:pPr>
      <w:r>
        <w:rPr>
          <w:rFonts w:ascii="Times New Roman" w:cs="Times New Roman" w:eastAsia="Times New Roman" w:hAnsi="Times New Roman"/>
          <w:sz w:val="24"/>
          <w:szCs w:val="24"/>
        </w:rPr>
        <w:t xml:space="preserve">The hallucination-triggering items are a first step toward narrowing this gap. By embedding fictional entities among real but obscure ones (see §3.1), they probe whether a respondent—human or model—becomes alert to an entity it could not possibly have encountered, i.e., whether it registers “I have never heard of this.” This targets boundary awareness more directly than overall ECE does, and the results on this item type are therefore the most relevant evidence bearing on the larger question. Nonetheless, this remains an indirect proxy: a correct “false” judgment on a fictional-entity item does not fully distinguish genuine boundary awareness from a mere bias toward answering “false.”</w:t>
      </w:r>
    </w:p>
    <w:p>
      <w:pPr>
        <w:spacing w:after="160" w:line="300"/>
        <w:jc w:val="both"/>
      </w:pPr>
      <w:r>
        <w:rPr>
          <w:rFonts w:ascii="Times New Roman" w:cs="Times New Roman" w:eastAsia="Times New Roman" w:hAnsi="Times New Roman"/>
          <w:sz w:val="24"/>
          <w:szCs w:val="24"/>
        </w:rPr>
        <w:t xml:space="preserve">Two directions are left to future work. First, a more rigorous, dedicated measurement of boundary awareness itself—rather than inferring it from calibration on a subset of items—would more faithfully capture “knowing what one does not know.” Second, the construction of hallucination-triggering items could be made empirical: a survey could be used to identify the conditions under which models are most prone to hallucination, and items authored to target those conditions. This survey-driven item construction was not carried out here owing to time constraints, but it is a natural extension for strengthening the validity of the boundary-probing items.</w:t>
      </w:r>
    </w:p>
    <w:p>
      <w:pPr>
        <w:pStyle w:val="Heading1"/>
        <w:spacing w:after="160" w:before="300"/>
      </w:pPr>
      <w:r>
        <w:rPr>
          <w:rFonts w:ascii="Times New Roman" w:cs="Times New Roman" w:eastAsia="Times New Roman" w:hAnsi="Times New Roman"/>
          <w:b/>
          <w:bCs/>
          <w:color w:val="000000"/>
          <w:sz w:val="30"/>
          <w:szCs w:val="30"/>
        </w:rPr>
        <w:t xml:space="preserve">References</w:t>
      </w:r>
    </w:p>
    <w:p>
      <w:pPr>
        <w:spacing w:after="140" w:line="288"/>
      </w:pPr>
      <w:r>
        <w:rPr>
          <w:rFonts w:ascii="Times New Roman" w:cs="Times New Roman" w:eastAsia="Times New Roman" w:hAnsi="Times New Roman"/>
          <w:i/>
          <w:iCs/>
          <w:color w:val="808080"/>
          <w:sz w:val="22"/>
          <w:szCs w:val="22"/>
        </w:rPr>
        <w:t xml:space="preserve">[APA 7, alphabetical — the 11 sources from the annotated bibliography plus additions. Verify full author lists, volume/issue/pages, and DOIs before submission.]</w:t>
      </w:r>
    </w:p>
    <w:p>
      <w:pPr>
        <w:spacing w:before="260"/>
      </w:pPr>
      <w:r>
        <w:rPr>
          <w:rFonts w:ascii="Times New Roman" w:cs="Times New Roman" w:eastAsia="Times New Roman" w:hAnsi="Times New Roman"/>
          <w:color w:val="B0B0B0"/>
          <w:sz w:val="20"/>
          <w:szCs w:val="20"/>
        </w:rPr>
        <w:t xml:space="preserve">———</w:t>
      </w:r>
    </w:p>
    <w:p>
      <w:pPr>
        <w:spacing w:after="60"/>
      </w:pPr>
      <w:r>
        <w:rPr>
          <w:rFonts w:ascii="Times New Roman" w:cs="Times New Roman" w:eastAsia="Times New Roman" w:hAnsi="Times New Roman"/>
          <w:b/>
          <w:bCs/>
          <w:i/>
          <w:iCs/>
          <w:color w:val="808080"/>
          <w:sz w:val="20"/>
          <w:szCs w:val="20"/>
        </w:rPr>
        <w:t xml:space="preserve">Note on formatting: </w:t>
      </w:r>
      <w:r>
        <w:rPr>
          <w:rFonts w:ascii="Times New Roman" w:cs="Times New Roman" w:eastAsia="Times New Roman" w:hAnsi="Times New Roman"/>
          <w:i/>
          <w:iCs/>
          <w:color w:val="808080"/>
          <w:sz w:val="20"/>
          <w:szCs w:val="20"/>
        </w:rPr>
        <w:t xml:space="preserve">sentences shown in </w:t>
      </w:r>
      <w:r>
        <w:rPr>
          <w:rFonts w:ascii="Times New Roman" w:cs="Times New Roman" w:eastAsia="Times New Roman" w:hAnsi="Times New Roman"/>
          <w:i/>
          <w:iCs/>
          <w:color w:val="1C5AA8"/>
          <w:sz w:val="20"/>
          <w:szCs w:val="20"/>
        </w:rPr>
        <w:t xml:space="preserve">blue italics</w:t>
      </w:r>
      <w:r>
        <w:rPr>
          <w:rFonts w:ascii="Times New Roman" w:cs="Times New Roman" w:eastAsia="Times New Roman" w:hAnsi="Times New Roman"/>
          <w:i/>
          <w:iCs/>
          <w:color w:val="808080"/>
          <w:sz w:val="20"/>
          <w:szCs w:val="20"/>
        </w:rPr>
        <w:t xml:space="preserve"> are the two passages I added to strengthen the “essential challenge” and “core contribution” per the tutorial (steps 5 and 9). They are additions, not translations of your existing text — delete or keep as you see fit. Grey italics are placeholders/outline for sections awaiting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2026-07-05T17:27:37.963Z</dcterms:created>
  <dcterms:modified xsi:type="dcterms:W3CDTF">2026-07-05T17:27:37.979Z</dcterms:modified>
</cp:coreProperties>
</file>

<file path=docProps/custom.xml><?xml version="1.0" encoding="utf-8"?>
<Properties xmlns="http://schemas.openxmlformats.org/officeDocument/2006/custom-properties" xmlns:vt="http://schemas.openxmlformats.org/officeDocument/2006/docPropsVTypes"/>
</file>