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3274" w14:textId="77777777" w:rsidR="008075BB" w:rsidRDefault="00FC143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</w:t>
      </w:r>
      <w:r>
        <w:rPr>
          <w:rFonts w:ascii="Arial" w:hAnsi="Arial" w:cs="Arial"/>
          <w:sz w:val="26"/>
          <w:szCs w:val="26"/>
        </w:rPr>
        <w:t>UNESP</w:t>
      </w:r>
    </w:p>
    <w:p w14:paraId="2E86696E" w14:textId="77777777" w:rsidR="008075BB" w:rsidRDefault="00FC143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Ian Rangel Passos, João Vítor de Oliveira Mantilha, Lucas </w:t>
      </w:r>
      <w:proofErr w:type="spellStart"/>
      <w:r>
        <w:rPr>
          <w:rFonts w:ascii="Arial" w:hAnsi="Arial" w:cs="Arial"/>
          <w:sz w:val="26"/>
          <w:szCs w:val="26"/>
        </w:rPr>
        <w:t>Eiki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Okada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58759E7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490F4EB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810BAE8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4DF2076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EED21F7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A3CC512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860E9D4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F73CE4" w14:textId="77777777" w:rsidR="008075BB" w:rsidRDefault="00FC143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>
        <w:rPr>
          <w:rFonts w:ascii="Arial" w:hAnsi="Arial" w:cs="Arial"/>
          <w:sz w:val="26"/>
          <w:szCs w:val="26"/>
        </w:rPr>
        <w:t>Relatório de Linguagem de Montagem</w:t>
      </w:r>
    </w:p>
    <w:p w14:paraId="5FE7A642" w14:textId="77777777" w:rsidR="008075BB" w:rsidRDefault="00FC143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Comparação entre linguagens de alto nível e baixo </w:t>
      </w:r>
      <w:r>
        <w:rPr>
          <w:rFonts w:ascii="Arial" w:hAnsi="Arial" w:cs="Arial"/>
          <w:sz w:val="26"/>
          <w:szCs w:val="26"/>
        </w:rPr>
        <w:t>nível</w:t>
      </w:r>
    </w:p>
    <w:p w14:paraId="54E20AFE" w14:textId="77777777" w:rsidR="008075BB" w:rsidRDefault="008075BB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7ECC8404" w14:textId="77777777" w:rsidR="008075BB" w:rsidRDefault="008075BB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6F1942E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CCE4C99" w14:textId="77777777" w:rsidR="008075BB" w:rsidRDefault="00FC143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</w:p>
    <w:p w14:paraId="115D8A03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C845574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BCF1E1B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3C2B8EB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03CD150" w14:textId="77777777" w:rsidR="008075BB" w:rsidRDefault="008075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836978B" w14:textId="77777777" w:rsidR="008075BB" w:rsidRDefault="00FC143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Rio Claro</w:t>
      </w:r>
    </w:p>
    <w:p w14:paraId="21609328" w14:textId="77777777" w:rsidR="008075BB" w:rsidRDefault="00FC143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2020</w:t>
      </w:r>
    </w:p>
    <w:p w14:paraId="10FA175D" w14:textId="77777777" w:rsidR="008075BB" w:rsidRDefault="00FC14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655EF63E" w14:textId="77777777" w:rsidR="008075BB" w:rsidRDefault="00FC14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Discussão do código</w:t>
      </w:r>
    </w:p>
    <w:p w14:paraId="07198FDA" w14:textId="77777777" w:rsidR="008075BB" w:rsidRDefault="00FC143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em Assembly</w:t>
      </w:r>
    </w:p>
    <w:p w14:paraId="7AB0642D" w14:textId="77777777" w:rsidR="008075BB" w:rsidRDefault="00FC143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em C</w:t>
      </w:r>
    </w:p>
    <w:p w14:paraId="5C000536" w14:textId="77777777" w:rsidR="008075BB" w:rsidRDefault="00FC143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 principal em C</w:t>
      </w:r>
    </w:p>
    <w:p w14:paraId="07D4D3FE" w14:textId="15A0333C" w:rsidR="008075BB" w:rsidRDefault="00FC14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Teste dos tempos de </w:t>
      </w:r>
      <w:r>
        <w:rPr>
          <w:rFonts w:ascii="Arial" w:hAnsi="Arial" w:cs="Arial"/>
          <w:b/>
          <w:bCs/>
          <w:sz w:val="24"/>
          <w:szCs w:val="24"/>
        </w:rPr>
        <w:t>execução</w:t>
      </w:r>
    </w:p>
    <w:p w14:paraId="3DDA3188" w14:textId="08663C3A" w:rsidR="00D91D5E" w:rsidRDefault="00D91D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0AD575EB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96627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0BF54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8FF90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10F80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5C99B0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80B5E7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CF24E6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C77E6B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9BA3E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7AC187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5F2C31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2F069B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D21A1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9FF59B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9E062A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F3E58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E77B94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CACC9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FD9AED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2D2BF8" w14:textId="77777777" w:rsidR="008075BB" w:rsidRDefault="00FC14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Introdução:</w:t>
      </w:r>
    </w:p>
    <w:p w14:paraId="78FCB9EF" w14:textId="77777777" w:rsidR="008075BB" w:rsidRDefault="008075B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75F4F2" w14:textId="77777777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trabalho, desenvolvemos um programa em C que executa uma mesma função em duas linguagens diferentes (C e Assembly: sintaxes AT&amp;T e Intel), com o objetivo de medir o tempo de execução de cada uma delas.</w:t>
      </w:r>
    </w:p>
    <w:p w14:paraId="5242A9C6" w14:textId="77777777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função recebe três matrizes A, B e C de tamanho L x L, e deve calcular o resultado da expressão (A x C) + B e retornar a soma da diagonal principal da matriz resultante.</w:t>
      </w:r>
    </w:p>
    <w:p w14:paraId="6278042B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44CD66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888B7C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BEE30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CD6E9F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992AC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1C79D9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B3780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CEFC8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7B407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271B8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F17F60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B0766C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BBB9F7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A236E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8DFF9D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3FCE8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5A2614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37FEB" w14:textId="77777777" w:rsidR="008075BB" w:rsidRDefault="00FC14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Discussão do código:</w:t>
      </w:r>
    </w:p>
    <w:p w14:paraId="14FF2C1F" w14:textId="77777777" w:rsidR="008075BB" w:rsidRDefault="00FC143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2.1. Código em Assembly</w:t>
      </w:r>
    </w:p>
    <w:p w14:paraId="1C4C5B42" w14:textId="77777777" w:rsidR="008075BB" w:rsidRDefault="008075BB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855BD15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</w:t>
      </w:r>
      <w:r>
        <w:rPr>
          <w:rFonts w:ascii="Arial" w:hAnsi="Arial" w:cs="Arial"/>
          <w:sz w:val="24"/>
          <w:szCs w:val="24"/>
        </w:rPr>
        <w:t xml:space="preserve"> foi escrito em duas versões Assembly, uma em NASM e outra em GAS. Como ambas fazem parte da mesma linguagem, as diferenças entre essas duas funções são exclusivamente sintáticas, devido a isso, a análise do código em Assembly será feita apenas em NASM.</w:t>
      </w:r>
    </w:p>
    <w:p w14:paraId="4C439AC1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NASM, criamos vários macros que executam operações diferentes, e que são chamados a partir da função global mult_matrix.</w:t>
      </w:r>
    </w:p>
    <w:p w14:paraId="5894CCEE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5A5E08" wp14:editId="7ED62029">
            <wp:extent cx="1874520" cy="2593975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91A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Essa, por sua vez, é chamada pelo programa principal em C. Ela coloca o endereço de retorno e os parâmetros passados em uma </w:t>
      </w:r>
      <w:r>
        <w:rPr>
          <w:rFonts w:ascii="Arial" w:hAnsi="Arial" w:cs="Arial"/>
          <w:sz w:val="24"/>
          <w:szCs w:val="24"/>
        </w:rPr>
        <w:t>pilha.</w:t>
      </w:r>
    </w:p>
    <w:p w14:paraId="4E77F0D6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CBB21" wp14:editId="52C3D31A">
            <wp:extent cx="1318260" cy="2705100"/>
            <wp:effectExtent l="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C23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matrix_mul é chamada após os parâmetros necessários para a execução dela serem empilhados. Ela é a responsável pelo cálculo de (A x C).</w:t>
      </w:r>
    </w:p>
    <w:p w14:paraId="602D3838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867EDC" wp14:editId="6BBDA5C5">
            <wp:extent cx="1539240" cy="4282440"/>
            <wp:effectExtent l="0" t="0" r="0" b="0"/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9FB3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456A52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Nela, utilizamos três loops para executar a multiplicação entre matrizes. Para armazenar os valores, usamos uma pilha. </w:t>
      </w:r>
    </w:p>
    <w:p w14:paraId="2A0CB2E4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a memória só possui uma dimensão, é preciso fazer um macro secundário (calc_position) para fazer o mapeamento das posições da matri</w:t>
      </w:r>
      <w:r>
        <w:rPr>
          <w:rFonts w:ascii="Arial" w:hAnsi="Arial" w:cs="Arial"/>
          <w:sz w:val="24"/>
          <w:szCs w:val="24"/>
        </w:rPr>
        <w:t>z e encontrar o local onde o elemento desejado está alocado. Neste macro, utilizamos uma fórmula: ((L X I) + J) *4.</w:t>
      </w:r>
    </w:p>
    <w:p w14:paraId="4437AC45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8D6D53" wp14:editId="7DA8059B">
            <wp:extent cx="1592580" cy="1350645"/>
            <wp:effectExtent l="0" t="0" r="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ABEF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mult_matrix, a função global chama o macro matrix_sum, que irá retornar o resultado de (A x C) + B.</w:t>
      </w:r>
    </w:p>
    <w:p w14:paraId="6148B3A2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EC0033" wp14:editId="45D065CA">
            <wp:extent cx="1638300" cy="3382645"/>
            <wp:effectExtent l="0" t="0" r="0" b="0"/>
            <wp:docPr id="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674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macro, temos dois loops</w:t>
      </w:r>
      <w:r>
        <w:rPr>
          <w:rFonts w:ascii="Arial" w:hAnsi="Arial" w:cs="Arial"/>
          <w:sz w:val="24"/>
          <w:szCs w:val="24"/>
        </w:rPr>
        <w:t xml:space="preserve"> que percorrem as matrizes e somam os elementos em uma mesma posição, e armazena o resultado em uma matriz resultante.</w:t>
      </w:r>
    </w:p>
    <w:p w14:paraId="17D5C980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finalizar, o último macro a ser chamado é matrix_diagonal_sum, que calculará a soma dos valores na diagonal principal da matriz resu</w:t>
      </w:r>
      <w:r>
        <w:rPr>
          <w:rFonts w:ascii="Arial" w:hAnsi="Arial" w:cs="Arial"/>
          <w:sz w:val="24"/>
          <w:szCs w:val="24"/>
        </w:rPr>
        <w:t>ltante.</w:t>
      </w:r>
    </w:p>
    <w:p w14:paraId="7F9FE04E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DD83D" wp14:editId="67BD7E8A">
            <wp:extent cx="1790700" cy="3048000"/>
            <wp:effectExtent l="0" t="0" r="0" b="0"/>
            <wp:docPr id="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0201" w14:textId="77777777" w:rsidR="008075BB" w:rsidRDefault="008075B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7F2A8F7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função, usamos dois loops, que percorrem a matriz e checam se o valor dos índices i e j (linha e coluna, respectivamente) são iguais, e se sim, soma esse valor em um registrador acumulador.</w:t>
      </w:r>
    </w:p>
    <w:p w14:paraId="33490C4F" w14:textId="77777777" w:rsidR="008075BB" w:rsidRDefault="00FC14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fim de tudo, global mult_matrix retorna esta s</w:t>
      </w:r>
      <w:r>
        <w:rPr>
          <w:rFonts w:ascii="Arial" w:hAnsi="Arial" w:cs="Arial"/>
          <w:sz w:val="24"/>
          <w:szCs w:val="24"/>
        </w:rPr>
        <w:t>oma para o programa principal em C.</w:t>
      </w:r>
    </w:p>
    <w:p w14:paraId="146A00DA" w14:textId="77777777" w:rsidR="008075BB" w:rsidRDefault="008075BB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1AF6FFB" w14:textId="77777777" w:rsidR="008075BB" w:rsidRDefault="00FC1430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Código em C</w:t>
      </w:r>
    </w:p>
    <w:p w14:paraId="0267C049" w14:textId="77777777" w:rsidR="008075BB" w:rsidRDefault="008075B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486AAA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algoritmo em C, as funções seguem a mesma lógica dos macros em Assembly. </w:t>
      </w:r>
    </w:p>
    <w:p w14:paraId="3230D3CD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chamada função_final que chama outras três sub-rotinas: uma que multiplica as matrizes A e C (mul_matrix)</w:t>
      </w:r>
      <w:r>
        <w:rPr>
          <w:rFonts w:ascii="Arial" w:hAnsi="Arial" w:cs="Arial"/>
          <w:sz w:val="24"/>
          <w:szCs w:val="24"/>
        </w:rPr>
        <w:t>, outra que soma a matriz resultante da primeira operação e B (sum_matrix), e a última que recebe a matriz-retorno da segunda sub-rotina e calcula a soma da sua diagonal principal (sum_diagonal_principal).</w:t>
      </w:r>
    </w:p>
    <w:p w14:paraId="163A3A5D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2DDC1EC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C60ED" wp14:editId="4F0F5A69">
            <wp:extent cx="5317490" cy="1318260"/>
            <wp:effectExtent l="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6728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D333D00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2.3. Programa principal em C</w:t>
      </w:r>
    </w:p>
    <w:p w14:paraId="61B8102D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programa principal em C é o responsável por executar todas as funções descritas acima e mapear o tempo de execução delas.</w:t>
      </w:r>
    </w:p>
    <w:p w14:paraId="6D516CD4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a sub-rotina feita em Assembly, primeiro fizemos a declaração de uma função externa:</w:t>
      </w:r>
    </w:p>
    <w:p w14:paraId="67C90317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0C40CB" wp14:editId="401E6CA2">
            <wp:extent cx="5074920" cy="236220"/>
            <wp:effectExtent l="0" t="0" r="0" b="0"/>
            <wp:docPr id="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6FC9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depois, ela pode ser chamada norm</w:t>
      </w:r>
      <w:r>
        <w:rPr>
          <w:rFonts w:ascii="Arial" w:hAnsi="Arial" w:cs="Arial"/>
          <w:sz w:val="24"/>
          <w:szCs w:val="24"/>
        </w:rPr>
        <w:t>almente.</w:t>
      </w:r>
    </w:p>
    <w:p w14:paraId="7E35311B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3A683A" wp14:editId="5DBD700E">
            <wp:extent cx="5219700" cy="149225"/>
            <wp:effectExtent l="0" t="0" r="0" b="0"/>
            <wp:docPr id="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D6C3" w14:textId="77777777" w:rsidR="008075BB" w:rsidRDefault="00FC143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usados para medir os tempos de execução dos códigos serão discutidos na próxima seção.</w:t>
      </w:r>
    </w:p>
    <w:p w14:paraId="63A0DDB7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D669E62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4D6D477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0A1C247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8A710F5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C4267CF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A95641D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02E865F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3E5E28B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530EE3F" w14:textId="77777777" w:rsidR="008075BB" w:rsidRDefault="008075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130DB8D" w14:textId="77777777" w:rsidR="008075BB" w:rsidRDefault="00FC14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Teste dos tempos de execução</w:t>
      </w:r>
    </w:p>
    <w:p w14:paraId="5A6382F1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345C5" w14:textId="77777777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funções feitas nas diferentes linguagens, é possível medir o tempo de execução de cada uma delas e c</w:t>
      </w:r>
      <w:r>
        <w:rPr>
          <w:rFonts w:ascii="Arial" w:hAnsi="Arial" w:cs="Arial"/>
          <w:sz w:val="24"/>
          <w:szCs w:val="24"/>
        </w:rPr>
        <w:t>omparar os resultados.</w:t>
      </w:r>
    </w:p>
    <w:p w14:paraId="30B877D3" w14:textId="2CEFBD9D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usamos a variável </w:t>
      </w:r>
      <w:proofErr w:type="spellStart"/>
      <w:r>
        <w:rPr>
          <w:rFonts w:ascii="Arial" w:hAnsi="Arial" w:cs="Arial"/>
          <w:sz w:val="24"/>
          <w:szCs w:val="24"/>
        </w:rPr>
        <w:t>clock_t</w:t>
      </w:r>
      <w:proofErr w:type="spellEnd"/>
      <w:r>
        <w:rPr>
          <w:rFonts w:ascii="Arial" w:hAnsi="Arial" w:cs="Arial"/>
          <w:sz w:val="24"/>
          <w:szCs w:val="24"/>
        </w:rPr>
        <w:t xml:space="preserve"> da biblioteca time.h, que serve para guardar tempos de processamento.</w:t>
      </w:r>
    </w:p>
    <w:p w14:paraId="0449F666" w14:textId="4DC4B392" w:rsidR="00D91D5E" w:rsidRDefault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3A921E" wp14:editId="774FDC55">
            <wp:extent cx="1920240" cy="259080"/>
            <wp:effectExtent l="0" t="0" r="381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96B5" w14:textId="220ECD89" w:rsidR="00D91D5E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para a medição dos tempos, basta usar a função clock(), também da biblioteca time</w:t>
      </w:r>
      <w:r>
        <w:rPr>
          <w:rFonts w:ascii="Arial" w:hAnsi="Arial" w:cs="Arial"/>
          <w:sz w:val="24"/>
          <w:szCs w:val="24"/>
        </w:rPr>
        <w:t>.h. Ela calcula a quantidade de clocks que se passaram desde que o programa foi iniciado. Para calcular o tempo de processamento da função, atribuímos clock() à variável start, chamamos a função desejada, e atribuímos clock() à variável end. Agora, a difer</w:t>
      </w:r>
      <w:r>
        <w:rPr>
          <w:rFonts w:ascii="Arial" w:hAnsi="Arial" w:cs="Arial"/>
          <w:sz w:val="24"/>
          <w:szCs w:val="24"/>
        </w:rPr>
        <w:t xml:space="preserve">ença entre os valores de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e start é equivalente à quantidade de clocks que a função levou para executar. </w:t>
      </w:r>
    </w:p>
    <w:p w14:paraId="158EA79D" w14:textId="23BB4508" w:rsidR="00D91D5E" w:rsidRDefault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48CCF0" wp14:editId="2A85DCF4">
            <wp:extent cx="5760085" cy="4876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89B5" w14:textId="6C7A4911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converter este valor para segundos basta dividir por CLOCKS_PER_SEC, que armazena a quantidade de clocks por segundo da CPU.</w:t>
      </w:r>
    </w:p>
    <w:p w14:paraId="2A51F582" w14:textId="3592313D" w:rsidR="00D91D5E" w:rsidRDefault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1C4A8E" wp14:editId="09C0693E">
            <wp:extent cx="4259580" cy="27432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3523" w14:textId="77777777" w:rsidR="008075BB" w:rsidRDefault="00FC143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38E44506" w14:textId="77777777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fazer 10 testes em cada função para diferentes tamanhos de L, obtivemos três médias de tempo para cada caso.</w:t>
      </w:r>
    </w:p>
    <w:tbl>
      <w:tblPr>
        <w:tblStyle w:val="Tabelacomgrade"/>
        <w:tblW w:w="8881" w:type="dxa"/>
        <w:tblLook w:val="04A0" w:firstRow="1" w:lastRow="0" w:firstColumn="1" w:lastColumn="0" w:noHBand="0" w:noVBand="1"/>
      </w:tblPr>
      <w:tblGrid>
        <w:gridCol w:w="910"/>
        <w:gridCol w:w="1067"/>
        <w:gridCol w:w="1067"/>
        <w:gridCol w:w="1067"/>
        <w:gridCol w:w="1067"/>
        <w:gridCol w:w="1167"/>
        <w:gridCol w:w="1268"/>
        <w:gridCol w:w="1268"/>
      </w:tblGrid>
      <w:tr w:rsidR="008075BB" w14:paraId="4B2384C0" w14:textId="77777777">
        <w:tc>
          <w:tcPr>
            <w:tcW w:w="910" w:type="dxa"/>
          </w:tcPr>
          <w:p w14:paraId="2838D1B2" w14:textId="77777777" w:rsidR="008075BB" w:rsidRDefault="008075B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</w:tcPr>
          <w:p w14:paraId="26D15D54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L=25</w:t>
            </w:r>
          </w:p>
        </w:tc>
        <w:tc>
          <w:tcPr>
            <w:tcW w:w="1067" w:type="dxa"/>
          </w:tcPr>
          <w:p w14:paraId="48F613D1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L=50</w:t>
            </w:r>
          </w:p>
        </w:tc>
        <w:tc>
          <w:tcPr>
            <w:tcW w:w="1068" w:type="dxa"/>
          </w:tcPr>
          <w:p w14:paraId="23630A86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L=100</w:t>
            </w:r>
          </w:p>
        </w:tc>
        <w:tc>
          <w:tcPr>
            <w:tcW w:w="1066" w:type="dxa"/>
          </w:tcPr>
          <w:p w14:paraId="2997891A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L=300</w:t>
            </w:r>
          </w:p>
        </w:tc>
        <w:tc>
          <w:tcPr>
            <w:tcW w:w="1167" w:type="dxa"/>
          </w:tcPr>
          <w:p w14:paraId="35737CCB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L=500</w:t>
            </w:r>
          </w:p>
        </w:tc>
        <w:tc>
          <w:tcPr>
            <w:tcW w:w="1268" w:type="dxa"/>
          </w:tcPr>
          <w:p w14:paraId="2A874320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L=800</w:t>
            </w:r>
          </w:p>
        </w:tc>
        <w:tc>
          <w:tcPr>
            <w:tcW w:w="1268" w:type="dxa"/>
          </w:tcPr>
          <w:p w14:paraId="2226F220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L=1000</w:t>
            </w:r>
          </w:p>
        </w:tc>
      </w:tr>
      <w:tr w:rsidR="008075BB" w14:paraId="363FE8CD" w14:textId="77777777">
        <w:tc>
          <w:tcPr>
            <w:tcW w:w="910" w:type="dxa"/>
          </w:tcPr>
          <w:p w14:paraId="2CA88C66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66" w:type="dxa"/>
          </w:tcPr>
          <w:p w14:paraId="591EE5F1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0.0002162</w:t>
            </w:r>
          </w:p>
        </w:tc>
        <w:tc>
          <w:tcPr>
            <w:tcW w:w="1067" w:type="dxa"/>
          </w:tcPr>
          <w:p w14:paraId="116833EF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0.0012098</w:t>
            </w:r>
          </w:p>
        </w:tc>
        <w:tc>
          <w:tcPr>
            <w:tcW w:w="1068" w:type="dxa"/>
          </w:tcPr>
          <w:p w14:paraId="659D0215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0.0106987</w:t>
            </w:r>
          </w:p>
        </w:tc>
        <w:tc>
          <w:tcPr>
            <w:tcW w:w="1066" w:type="dxa"/>
          </w:tcPr>
          <w:p w14:paraId="5365CA8D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0.1816843</w:t>
            </w:r>
          </w:p>
        </w:tc>
        <w:tc>
          <w:tcPr>
            <w:tcW w:w="1167" w:type="dxa"/>
          </w:tcPr>
          <w:p w14:paraId="031864C9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0.9002052</w:t>
            </w:r>
          </w:p>
        </w:tc>
        <w:tc>
          <w:tcPr>
            <w:tcW w:w="1268" w:type="dxa"/>
          </w:tcPr>
          <w:p w14:paraId="59DF132A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5.0437007</w:t>
            </w:r>
          </w:p>
        </w:tc>
        <w:tc>
          <w:tcPr>
            <w:tcW w:w="1268" w:type="dxa"/>
          </w:tcPr>
          <w:p w14:paraId="5DEF092D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12.8606173</w:t>
            </w:r>
          </w:p>
        </w:tc>
      </w:tr>
      <w:tr w:rsidR="008075BB" w14:paraId="61C6A2CD" w14:textId="77777777">
        <w:tc>
          <w:tcPr>
            <w:tcW w:w="910" w:type="dxa"/>
          </w:tcPr>
          <w:p w14:paraId="4CD2D810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NASM</w:t>
            </w:r>
          </w:p>
        </w:tc>
        <w:tc>
          <w:tcPr>
            <w:tcW w:w="1066" w:type="dxa"/>
          </w:tcPr>
          <w:p w14:paraId="4FB7C49D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0.0021874</w:t>
            </w:r>
          </w:p>
        </w:tc>
        <w:tc>
          <w:tcPr>
            <w:tcW w:w="1067" w:type="dxa"/>
          </w:tcPr>
          <w:p w14:paraId="57FE9CF7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0.0067409</w:t>
            </w:r>
          </w:p>
        </w:tc>
        <w:tc>
          <w:tcPr>
            <w:tcW w:w="1068" w:type="dxa"/>
          </w:tcPr>
          <w:p w14:paraId="5DD89914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0.0207143</w:t>
            </w:r>
          </w:p>
        </w:tc>
        <w:tc>
          <w:tcPr>
            <w:tcW w:w="1066" w:type="dxa"/>
          </w:tcPr>
          <w:p w14:paraId="59757CF0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0.3564043</w:t>
            </w:r>
          </w:p>
        </w:tc>
        <w:tc>
          <w:tcPr>
            <w:tcW w:w="1167" w:type="dxa"/>
          </w:tcPr>
          <w:p w14:paraId="0B46F9E1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1.6388757</w:t>
            </w:r>
          </w:p>
        </w:tc>
        <w:tc>
          <w:tcPr>
            <w:tcW w:w="1268" w:type="dxa"/>
          </w:tcPr>
          <w:p w14:paraId="3CECD56D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8.0566192</w:t>
            </w:r>
          </w:p>
        </w:tc>
        <w:tc>
          <w:tcPr>
            <w:tcW w:w="1268" w:type="dxa"/>
          </w:tcPr>
          <w:p w14:paraId="64C48246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18.2043069</w:t>
            </w:r>
          </w:p>
        </w:tc>
      </w:tr>
      <w:tr w:rsidR="008075BB" w14:paraId="27F422B1" w14:textId="77777777">
        <w:tc>
          <w:tcPr>
            <w:tcW w:w="910" w:type="dxa"/>
          </w:tcPr>
          <w:p w14:paraId="1C60777A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</w:t>
            </w:r>
          </w:p>
        </w:tc>
        <w:tc>
          <w:tcPr>
            <w:tcW w:w="1066" w:type="dxa"/>
          </w:tcPr>
          <w:p w14:paraId="3BD45777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0.0066165</w:t>
            </w:r>
          </w:p>
        </w:tc>
        <w:tc>
          <w:tcPr>
            <w:tcW w:w="1067" w:type="dxa"/>
          </w:tcPr>
          <w:p w14:paraId="5C2C4965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0.0504148</w:t>
            </w:r>
          </w:p>
        </w:tc>
        <w:tc>
          <w:tcPr>
            <w:tcW w:w="1068" w:type="dxa"/>
          </w:tcPr>
          <w:p w14:paraId="2A088760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0.2955944</w:t>
            </w:r>
          </w:p>
        </w:tc>
        <w:tc>
          <w:tcPr>
            <w:tcW w:w="1066" w:type="dxa"/>
          </w:tcPr>
          <w:p w14:paraId="243E45FE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7.4625527</w:t>
            </w:r>
          </w:p>
        </w:tc>
        <w:tc>
          <w:tcPr>
            <w:tcW w:w="1167" w:type="dxa"/>
          </w:tcPr>
          <w:p w14:paraId="040FEC21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32.6646562</w:t>
            </w:r>
          </w:p>
        </w:tc>
        <w:tc>
          <w:tcPr>
            <w:tcW w:w="1268" w:type="dxa"/>
          </w:tcPr>
          <w:p w14:paraId="71E27312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158.8369473</w:t>
            </w:r>
          </w:p>
        </w:tc>
        <w:tc>
          <w:tcPr>
            <w:tcW w:w="1268" w:type="dxa"/>
          </w:tcPr>
          <w:p w14:paraId="17656583" w14:textId="77777777" w:rsidR="008075BB" w:rsidRDefault="00FC1430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359.2764413</w:t>
            </w:r>
          </w:p>
        </w:tc>
      </w:tr>
    </w:tbl>
    <w:p w14:paraId="5BE39A72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8DF74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914F63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9F7889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DFE515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640AC8" w14:textId="77777777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melhor visualização dos dados, </w:t>
      </w:r>
      <w:r>
        <w:rPr>
          <w:rFonts w:ascii="Arial" w:hAnsi="Arial" w:cs="Arial"/>
          <w:sz w:val="24"/>
          <w:szCs w:val="24"/>
        </w:rPr>
        <w:t>segue o gráfico:</w:t>
      </w:r>
    </w:p>
    <w:p w14:paraId="1FFE5E52" w14:textId="77777777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80B402" wp14:editId="2F869249">
            <wp:extent cx="4570730" cy="274193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C752416" w14:textId="77777777" w:rsidR="008075BB" w:rsidRDefault="00807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F657F4" w14:textId="1B4B3750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tempos em GAS estão muito acima do esperado, já que </w:t>
      </w:r>
      <w:r w:rsidR="00D91D5E">
        <w:rPr>
          <w:rFonts w:ascii="Arial" w:hAnsi="Arial" w:cs="Arial"/>
          <w:sz w:val="24"/>
          <w:szCs w:val="24"/>
        </w:rPr>
        <w:t>está na</w:t>
      </w:r>
      <w:r>
        <w:rPr>
          <w:rFonts w:ascii="Arial" w:hAnsi="Arial" w:cs="Arial"/>
          <w:sz w:val="24"/>
          <w:szCs w:val="24"/>
        </w:rPr>
        <w:t xml:space="preserve"> mesma linguagem do código em NASM, portanto segue outro gráfico comparando os tempos entre C e NASM, somente:</w:t>
      </w:r>
    </w:p>
    <w:p w14:paraId="6998FE22" w14:textId="2430B1C9" w:rsidR="008075BB" w:rsidRDefault="00FC14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A6C107" wp14:editId="10480077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B44AA0F" w14:textId="6506B23B" w:rsidR="00D91D5E" w:rsidRDefault="00D91D5E" w:rsidP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é possível ver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gráfico, </w:t>
      </w:r>
      <w:r w:rsidR="00FC1430">
        <w:rPr>
          <w:rFonts w:ascii="Arial" w:hAnsi="Arial" w:cs="Arial"/>
          <w:sz w:val="24"/>
          <w:szCs w:val="24"/>
        </w:rPr>
        <w:t>para valores pequenos de L as diferenças entre as linguagens parecem ser insignificantes</w:t>
      </w:r>
      <w:r>
        <w:rPr>
          <w:rFonts w:ascii="Arial" w:hAnsi="Arial" w:cs="Arial"/>
          <w:sz w:val="24"/>
          <w:szCs w:val="24"/>
        </w:rPr>
        <w:t xml:space="preserve">, </w:t>
      </w:r>
      <w:r w:rsidR="00FC1430">
        <w:rPr>
          <w:rFonts w:ascii="Arial" w:hAnsi="Arial" w:cs="Arial"/>
          <w:sz w:val="24"/>
          <w:szCs w:val="24"/>
        </w:rPr>
        <w:t xml:space="preserve">porém, conforme L aumenta, </w:t>
      </w:r>
      <w:r>
        <w:rPr>
          <w:rFonts w:ascii="Arial" w:hAnsi="Arial" w:cs="Arial"/>
          <w:sz w:val="24"/>
          <w:szCs w:val="24"/>
        </w:rPr>
        <w:t>o tempo em NASM fica cada vez maior em relação ao tempo de processamento em C.</w:t>
      </w:r>
    </w:p>
    <w:p w14:paraId="20A4A20B" w14:textId="66E934F8" w:rsidR="00D91D5E" w:rsidRDefault="00D91D5E" w:rsidP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1F80B" w14:textId="2FB591B1" w:rsidR="00D91D5E" w:rsidRDefault="00D91D5E" w:rsidP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A30904" w14:textId="709A3865" w:rsidR="00D91D5E" w:rsidRDefault="00D91D5E" w:rsidP="00D91D5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2FC184E3" w14:textId="38227008" w:rsidR="00D91D5E" w:rsidRDefault="00D91D5E" w:rsidP="00D91D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30C271" w14:textId="5335C0F8" w:rsidR="00D91D5E" w:rsidRPr="00D91D5E" w:rsidRDefault="00D91D5E" w:rsidP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dos dados coletados, podemos concluir que a linguagem C é mais bem equipada para o processamento de cálculos mais complexos e longos em relação à linguagem Assembly. Isso provavelmente acontece devido ao compilador da linguagem C, que é capaz de fazer otimizações no algoritmo, que são mais relevantes na performance do código para cálculos </w:t>
      </w:r>
      <w:r w:rsidR="00FC1430">
        <w:rPr>
          <w:rFonts w:ascii="Arial" w:hAnsi="Arial" w:cs="Arial"/>
          <w:sz w:val="24"/>
          <w:szCs w:val="24"/>
        </w:rPr>
        <w:t>maiores</w:t>
      </w:r>
      <w:r>
        <w:rPr>
          <w:rFonts w:ascii="Arial" w:hAnsi="Arial" w:cs="Arial"/>
          <w:sz w:val="24"/>
          <w:szCs w:val="24"/>
        </w:rPr>
        <w:t xml:space="preserve">. Além disso, a implementação de códigos em uma linguagem de baixo nível é mais </w:t>
      </w:r>
      <w:r w:rsidR="00FC1430">
        <w:rPr>
          <w:rFonts w:ascii="Arial" w:hAnsi="Arial" w:cs="Arial"/>
          <w:sz w:val="24"/>
          <w:szCs w:val="24"/>
        </w:rPr>
        <w:t>complicada</w:t>
      </w:r>
      <w:r>
        <w:rPr>
          <w:rFonts w:ascii="Arial" w:hAnsi="Arial" w:cs="Arial"/>
          <w:sz w:val="24"/>
          <w:szCs w:val="24"/>
        </w:rPr>
        <w:t>, se tornando mais difícil de obter um código com a melhor eficiência possível.</w:t>
      </w:r>
    </w:p>
    <w:p w14:paraId="7B213525" w14:textId="77777777" w:rsidR="00D91D5E" w:rsidRDefault="00D91D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91D5E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42C0"/>
    <w:multiLevelType w:val="multilevel"/>
    <w:tmpl w:val="295A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61246A17"/>
    <w:multiLevelType w:val="multilevel"/>
    <w:tmpl w:val="5EA44D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0F004C"/>
    <w:multiLevelType w:val="multilevel"/>
    <w:tmpl w:val="3144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5400" w:hanging="2160"/>
      </w:pPr>
    </w:lvl>
  </w:abstractNum>
  <w:abstractNum w:abstractNumId="3" w15:restartNumberingAfterBreak="0">
    <w:nsid w:val="78B57DF5"/>
    <w:multiLevelType w:val="multilevel"/>
    <w:tmpl w:val="CC7C3B84"/>
    <w:lvl w:ilvl="0">
      <w:start w:val="3"/>
      <w:numFmt w:val="decimal"/>
      <w:lvlText w:val="%1."/>
      <w:lvlJc w:val="left"/>
      <w:pPr>
        <w:tabs>
          <w:tab w:val="num" w:pos="720"/>
        </w:tabs>
        <w:ind w:left="408" w:hanging="408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10800" w:hanging="21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B"/>
    <w:rsid w:val="008075BB"/>
    <w:rsid w:val="00D91D5E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220AF"/>
  <w15:docId w15:val="{B7C30969-8666-4414-8DAF-F90AEA26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A62972"/>
    <w:pPr>
      <w:ind w:left="720"/>
      <w:contextualSpacing/>
    </w:pPr>
  </w:style>
  <w:style w:type="table" w:styleId="Tabelacomgrade">
    <w:name w:val="Table Grid"/>
    <w:basedOn w:val="Tabelanormal"/>
    <w:uiPriority w:val="39"/>
    <w:rsid w:val="0098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0"/>
  <c:style val="2"/>
  <c:chart>
    <c:title>
      <c:tx>
        <c:rich>
          <a:bodyPr rot="0"/>
          <a:lstStyle/>
          <a:p>
            <a:pPr>
              <a:defRPr lang="pt-BR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pt-BR" sz="1400" b="0" strike="noStrike" spc="-1">
                <a:solidFill>
                  <a:srgbClr val="595959"/>
                </a:solidFill>
                <a:latin typeface="Calibri"/>
              </a:rPr>
              <a:t>Gráfico T(s) x L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6.1165813312327698E-2"/>
          <c:y val="0.190544977019041"/>
          <c:w val="0.91886569515557304"/>
          <c:h val="0.65896257386736701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pt-BR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yVal>
            <c:numRef>
              <c:f>0</c:f>
              <c:numCache>
                <c:formatCode>General</c:formatCode>
                <c:ptCount val="7"/>
                <c:pt idx="0">
                  <c:v>2.162E-4</c:v>
                </c:pt>
                <c:pt idx="1">
                  <c:v>1.2098E-3</c:v>
                </c:pt>
                <c:pt idx="2">
                  <c:v>1.06987E-2</c:v>
                </c:pt>
                <c:pt idx="3">
                  <c:v>0.18168429999999999</c:v>
                </c:pt>
                <c:pt idx="4">
                  <c:v>0.90020520000000004</c:v>
                </c:pt>
                <c:pt idx="5">
                  <c:v>5.0437006999999996</c:v>
                </c:pt>
                <c:pt idx="6">
                  <c:v>12.860617299999999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A4-4397-AEF2-8C8463A400BD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NASM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pt-BR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yVal>
            <c:numRef>
              <c:f>1</c:f>
              <c:numCache>
                <c:formatCode>General</c:formatCode>
                <c:ptCount val="7"/>
                <c:pt idx="0">
                  <c:v>2.162E-4</c:v>
                </c:pt>
                <c:pt idx="1">
                  <c:v>6.7409000000000002E-3</c:v>
                </c:pt>
                <c:pt idx="2">
                  <c:v>2.0714300000000001E-2</c:v>
                </c:pt>
                <c:pt idx="3">
                  <c:v>0.35640430000000001</c:v>
                </c:pt>
                <c:pt idx="4">
                  <c:v>1.6388757</c:v>
                </c:pt>
                <c:pt idx="5">
                  <c:v>8.0566192000000001</c:v>
                </c:pt>
                <c:pt idx="6">
                  <c:v>18.204306899999999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A4-4397-AEF2-8C8463A400BD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GAS</c:v>
                </c:pt>
              </c:strCache>
            </c:strRef>
          </c:tx>
          <c:spPr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pt-BR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yVal>
            <c:numRef>
              <c:f>2</c:f>
              <c:numCache>
                <c:formatCode>General</c:formatCode>
                <c:ptCount val="7"/>
                <c:pt idx="0">
                  <c:v>6.6165E-3</c:v>
                </c:pt>
                <c:pt idx="1">
                  <c:v>5.0414800000000003E-2</c:v>
                </c:pt>
                <c:pt idx="2">
                  <c:v>0.29559439999999998</c:v>
                </c:pt>
                <c:pt idx="3">
                  <c:v>7.4625526999999998</c:v>
                </c:pt>
                <c:pt idx="4">
                  <c:v>32.664656200000003</c:v>
                </c:pt>
                <c:pt idx="5">
                  <c:v>158.83694729999999</c:v>
                </c:pt>
                <c:pt idx="6">
                  <c:v>359.27644129999999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DA4-4397-AEF2-8C8463A40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47389"/>
        <c:axId val="4085731"/>
      </c:scatterChart>
      <c:valAx>
        <c:axId val="53347389"/>
        <c:scaling>
          <c:orientation val="minMax"/>
          <c:max val="7"/>
          <c:min val="1"/>
        </c:scaling>
        <c:delete val="1"/>
        <c:axPos val="b"/>
        <c:numFmt formatCode="General" sourceLinked="0"/>
        <c:majorTickMark val="none"/>
        <c:minorTickMark val="none"/>
        <c:tickLblPos val="nextTo"/>
        <c:crossAx val="4085731"/>
        <c:crosses val="autoZero"/>
        <c:crossBetween val="midCat"/>
      </c:valAx>
      <c:valAx>
        <c:axId val="4085731"/>
        <c:scaling>
          <c:orientation val="minMax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t-BR"/>
          </a:p>
        </c:txPr>
        <c:crossAx val="53347389"/>
        <c:crosses val="autoZero"/>
        <c:crossBetween val="midCat"/>
      </c:valAx>
      <c:spPr>
        <a:noFill/>
        <a:ln w="25560"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pt-BR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0"/>
  <c:style val="2"/>
  <c:chart>
    <c:title>
      <c:tx>
        <c:rich>
          <a:bodyPr rot="0"/>
          <a:lstStyle/>
          <a:p>
            <a:pPr>
              <a:defRPr lang="pt-BR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pt-BR" sz="1400" b="0" strike="noStrike" spc="-1">
                <a:solidFill>
                  <a:srgbClr val="595959"/>
                </a:solidFill>
                <a:latin typeface="Calibri"/>
              </a:rPr>
              <a:t>Gráfico T(s) x L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pt-BR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yVal>
            <c:numRef>
              <c:f>0</c:f>
              <c:numCache>
                <c:formatCode>General</c:formatCode>
                <c:ptCount val="7"/>
                <c:pt idx="0">
                  <c:v>2.162E-4</c:v>
                </c:pt>
                <c:pt idx="1">
                  <c:v>1.2098E-3</c:v>
                </c:pt>
                <c:pt idx="2">
                  <c:v>1.06987E-2</c:v>
                </c:pt>
                <c:pt idx="3">
                  <c:v>0.18168429999999999</c:v>
                </c:pt>
                <c:pt idx="4">
                  <c:v>0.90020520000000004</c:v>
                </c:pt>
                <c:pt idx="5">
                  <c:v>5.0437006999999996</c:v>
                </c:pt>
                <c:pt idx="6">
                  <c:v>12.860617299999999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2D-4991-ABC4-2AB7ED740605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NASM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pt-BR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yVal>
            <c:numRef>
              <c:f>1</c:f>
              <c:numCache>
                <c:formatCode>General</c:formatCode>
                <c:ptCount val="7"/>
                <c:pt idx="0">
                  <c:v>2.1873999999999999E-3</c:v>
                </c:pt>
                <c:pt idx="1">
                  <c:v>6.7409000000000002E-3</c:v>
                </c:pt>
                <c:pt idx="2">
                  <c:v>2.0714300000000001E-2</c:v>
                </c:pt>
                <c:pt idx="3">
                  <c:v>0.35640430000000001</c:v>
                </c:pt>
                <c:pt idx="4">
                  <c:v>1.6388757</c:v>
                </c:pt>
                <c:pt idx="5">
                  <c:v>8.0566192000000001</c:v>
                </c:pt>
                <c:pt idx="6">
                  <c:v>18.204306899999999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2D-4991-ABC4-2AB7ED740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33242"/>
        <c:axId val="81211318"/>
      </c:scatterChart>
      <c:valAx>
        <c:axId val="9663324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1211318"/>
        <c:crosses val="autoZero"/>
        <c:crossBetween val="midCat"/>
      </c:valAx>
      <c:valAx>
        <c:axId val="81211318"/>
        <c:scaling>
          <c:orientation val="minMax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t-BR"/>
          </a:p>
        </c:txPr>
        <c:crossAx val="96633242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pt-BR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6E04-1CDC-4EB8-8A13-1E0E0969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Passos</dc:creator>
  <dc:description/>
  <cp:lastModifiedBy>Ian Passos</cp:lastModifiedBy>
  <cp:revision>2</cp:revision>
  <dcterms:created xsi:type="dcterms:W3CDTF">2020-09-10T21:39:00Z</dcterms:created>
  <dcterms:modified xsi:type="dcterms:W3CDTF">2020-09-10T21:39:00Z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