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zexz</w:t>
      </w:r>
    </w:p>
    <w:p>
      <w:pPr>
        <w:spacing w:after="200"/>
      </w:pPr>
      <w:r>
        <w:t xml:space="preserve">Local: canella</w:t>
      </w:r>
    </w:p>
    <w:p>
      <w:pPr>
        <w:spacing w:after="200"/>
      </w:pPr>
      <w:r>
        <w:t xml:space="preserve">Data: 2025-03-25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zexz: zezin e junin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Receita total apresentou um crescimento de 15% em relação ao trimestre anterior.As despesas operacionais permaneceram dentro do orçamento estipulado.O lucro líquido foi impactado positivamente pelos novos contratos firmados com empresas parceiras.Necessidade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3"/>
        <w:spacing w:before="300" w:after="100"/>
        <w:ind w:left="360"/>
      </w:pPr>
      <w:r>
        <w:t xml:space="preserve">dwdwdwd</w:t>
      </w:r>
    </w:p>
    <w:p>
      <w:pPr>
        <w:spacing w:after="120"/>
        <w:ind/>
      </w:pPr>
      <w:r>
        <w:rPr>
          <w:b w:val="false"/>
          <w:bCs w:val="false"/>
        </w:rPr>
        <w:t xml:space="preserve">dwdwd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zexz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2025-03-24T11:32:20.133Z</dcterms:created>
  <dcterms:modified xsi:type="dcterms:W3CDTF">2025-03-24T11:32:20.133Z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