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50C2B699" w:rsidR="00877ECB" w:rsidRPr="00615DDB" w:rsidRDefault="00615DDB" w:rsidP="006127CA">
      <w:pPr>
        <w:pStyle w:val="Heading1"/>
        <w:spacing w:line="360" w:lineRule="auto"/>
        <w:jc w:val="both"/>
        <w:rPr>
          <w:rFonts w:ascii="Palatino Linotype" w:hAnsi="Palatino Linotype"/>
          <w:sz w:val="20"/>
          <w:szCs w:val="20"/>
        </w:rPr>
      </w:pPr>
      <w:r w:rsidRPr="00615DDB">
        <w:rPr>
          <w:rFonts w:ascii="Palatino Linotype" w:hAnsi="Palatino Linotype"/>
          <w:sz w:val="20"/>
          <w:szCs w:val="20"/>
        </w:rPr>
        <w:t xml:space="preserve">An empirical comparison </w:t>
      </w:r>
      <w:r>
        <w:rPr>
          <w:rFonts w:ascii="Palatino Linotype" w:hAnsi="Palatino Linotype"/>
          <w:sz w:val="20"/>
          <w:szCs w:val="20"/>
        </w:rPr>
        <w:t>for modern volatility model</w:t>
      </w:r>
      <w:r w:rsidR="00484A33">
        <w:rPr>
          <w:rFonts w:ascii="Palatino Linotype" w:hAnsi="Palatino Linotype"/>
          <w:sz w:val="20"/>
          <w:szCs w:val="20"/>
        </w:rPr>
        <w:t>s on commodity op</w:t>
      </w:r>
      <w:r w:rsidR="00E530C2">
        <w:rPr>
          <w:rFonts w:ascii="Palatino Linotype" w:hAnsi="Palatino Linotype"/>
          <w:sz w:val="20"/>
          <w:szCs w:val="20"/>
        </w:rPr>
        <w:t>tions</w:t>
      </w:r>
      <w:r w:rsidR="00D53B7B">
        <w:rPr>
          <w:rFonts w:ascii="Palatino Linotype" w:hAnsi="Palatino Linotype"/>
          <w:sz w:val="20"/>
          <w:szCs w:val="20"/>
        </w:rPr>
        <w:t xml:space="preserve"> using QuantLib and python.</w:t>
      </w:r>
    </w:p>
    <w:p w14:paraId="0185D639" w14:textId="147A328A" w:rsidR="00F323B2" w:rsidRPr="00615DDB" w:rsidRDefault="00052382" w:rsidP="006127CA">
      <w:pPr>
        <w:pStyle w:val="Heading5"/>
        <w:spacing w:line="360" w:lineRule="auto"/>
        <w:ind w:left="0" w:firstLine="0"/>
        <w:jc w:val="both"/>
        <w:rPr>
          <w:rFonts w:ascii="Palatino Linotype" w:hAnsi="Palatino Linotype"/>
          <w:b/>
          <w:bCs/>
          <w:sz w:val="20"/>
          <w:szCs w:val="20"/>
        </w:rPr>
      </w:pPr>
      <w:r w:rsidRPr="00615DDB">
        <w:rPr>
          <w:rFonts w:ascii="Palatino Linotype" w:hAnsi="Palatino Linotype"/>
          <w:b/>
          <w:bCs/>
          <w:sz w:val="20"/>
          <w:szCs w:val="20"/>
        </w:rPr>
        <w:t>Luca Somigli</w:t>
      </w:r>
    </w:p>
    <w:p w14:paraId="26644134" w14:textId="77777777" w:rsidR="00052382" w:rsidRPr="00615DDB" w:rsidRDefault="00052382" w:rsidP="006127CA">
      <w:pPr>
        <w:spacing w:line="360" w:lineRule="auto"/>
        <w:jc w:val="both"/>
        <w:rPr>
          <w:rFonts w:ascii="Palatino Linotype" w:hAnsi="Palatino Linotype"/>
          <w:sz w:val="20"/>
          <w:szCs w:val="20"/>
        </w:rPr>
      </w:pPr>
    </w:p>
    <w:p w14:paraId="43A80D88" w14:textId="7C1E8B0D" w:rsidR="0003247D" w:rsidRPr="00803F50" w:rsidRDefault="00052382"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6127CA">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6127CA">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6127C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6127CA">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6127CA">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6127CA">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6127C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6127C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6127CA">
      <w:pPr>
        <w:spacing w:line="360" w:lineRule="auto"/>
        <w:jc w:val="both"/>
        <w:rPr>
          <w:rFonts w:ascii="Palatino Linotype" w:hAnsi="Palatino Linotype"/>
          <w:sz w:val="20"/>
          <w:szCs w:val="20"/>
        </w:rPr>
      </w:pPr>
    </w:p>
    <w:p w14:paraId="34B35D5E" w14:textId="2EF18DB5" w:rsidR="00052382" w:rsidRPr="00803F50" w:rsidRDefault="00052382" w:rsidP="006127CA">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6127CA">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6127CA">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6127CA">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6127C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6127CA">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6127CA">
      <w:pPr>
        <w:spacing w:line="360" w:lineRule="auto"/>
        <w:jc w:val="both"/>
        <w:rPr>
          <w:rFonts w:ascii="Palatino Linotype" w:hAnsi="Palatino Linotype"/>
          <w:sz w:val="20"/>
          <w:szCs w:val="20"/>
        </w:rPr>
      </w:pPr>
    </w:p>
    <w:p w14:paraId="72079D06" w14:textId="77777777" w:rsidR="0098240F" w:rsidRPr="00803F50" w:rsidRDefault="0098240F"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6127C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6127C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6127C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6127C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6127C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6127CA">
      <w:pPr>
        <w:spacing w:line="360" w:lineRule="auto"/>
        <w:jc w:val="both"/>
        <w:rPr>
          <w:rFonts w:ascii="Palatino Linotype" w:hAnsi="Palatino Linotype"/>
          <w:sz w:val="20"/>
          <w:szCs w:val="20"/>
        </w:rPr>
      </w:pPr>
    </w:p>
    <w:p w14:paraId="7376A6F5" w14:textId="0BD6DE1D" w:rsidR="009E7F78" w:rsidRPr="00803F50" w:rsidRDefault="006B036D" w:rsidP="006127CA">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6127CA">
      <w:pPr>
        <w:spacing w:line="360" w:lineRule="auto"/>
        <w:jc w:val="both"/>
        <w:rPr>
          <w:rFonts w:ascii="Palatino Linotype" w:hAnsi="Palatino Linotype"/>
          <w:b/>
          <w:bCs/>
          <w:sz w:val="20"/>
          <w:szCs w:val="20"/>
        </w:rPr>
      </w:pPr>
    </w:p>
    <w:p w14:paraId="78DF0A2B" w14:textId="3CFDE0E4" w:rsidR="0099582D" w:rsidRPr="00803F50" w:rsidRDefault="007F1491" w:rsidP="006127C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It's the foremost preliminary step for proceeding with any research work writing. While doing this go through a complete thought process of your Journal subject and research for </w:t>
      </w:r>
      <w:proofErr w:type="spellStart"/>
      <w:r w:rsidRPr="00803F50">
        <w:rPr>
          <w:rFonts w:ascii="Palatino Linotype" w:hAnsi="Palatino Linotype"/>
          <w:sz w:val="20"/>
          <w:szCs w:val="20"/>
        </w:rPr>
        <w:t>it's</w:t>
      </w:r>
      <w:proofErr w:type="spellEnd"/>
      <w:r w:rsidRPr="00803F50">
        <w:rPr>
          <w:rFonts w:ascii="Palatino Linotype" w:hAnsi="Palatino Linotype"/>
          <w:sz w:val="20"/>
          <w:szCs w:val="20"/>
        </w:rPr>
        <w:t xml:space="preserve"> viability by following means:</w:t>
      </w:r>
    </w:p>
    <w:p w14:paraId="5B8BF716" w14:textId="4D13A559" w:rsidR="0099582D" w:rsidRPr="00803F50" w:rsidRDefault="0099582D" w:rsidP="006127C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6127C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6127C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6127C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6127C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6127CA">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6127C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6127C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6127C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proofErr w:type="spellStart"/>
      <w:r w:rsidR="00800F82" w:rsidRPr="00803F50">
        <w:rPr>
          <w:rFonts w:ascii="Palatino Linotype" w:hAnsi="Palatino Linotype"/>
          <w:sz w:val="20"/>
          <w:szCs w:val="20"/>
        </w:rPr>
        <w:t>Kyoshi</w:t>
      </w:r>
      <w:proofErr w:type="spellEnd"/>
      <w:r w:rsidR="00800F82" w:rsidRPr="00803F50">
        <w:rPr>
          <w:rFonts w:ascii="Palatino Linotype" w:hAnsi="Palatino Linotype"/>
          <w:sz w:val="20"/>
          <w:szCs w:val="20"/>
        </w:rPr>
        <w:t xml:space="preserve">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9859DB" w:rsidP="006127C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9859DB" w:rsidP="006127C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9859DB" w:rsidP="006127C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6127CA">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6127CA">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6127CA">
      <w:pPr>
        <w:spacing w:line="360" w:lineRule="auto"/>
        <w:jc w:val="both"/>
        <w:rPr>
          <w:rFonts w:ascii="Palatino Linotype" w:hAnsi="Palatino Linotype"/>
          <w:sz w:val="20"/>
          <w:szCs w:val="20"/>
        </w:rPr>
      </w:pPr>
    </w:p>
    <w:p w14:paraId="2622F60B" w14:textId="249A07D7" w:rsidR="00A37046" w:rsidRPr="00803F50" w:rsidRDefault="00A37046" w:rsidP="006127C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6127CA">
      <w:pPr>
        <w:spacing w:line="360" w:lineRule="auto"/>
        <w:jc w:val="both"/>
        <w:rPr>
          <w:rFonts w:ascii="Palatino Linotype" w:hAnsi="Palatino Linotype"/>
          <w:sz w:val="20"/>
          <w:szCs w:val="20"/>
        </w:rPr>
      </w:pPr>
    </w:p>
    <w:p w14:paraId="1ECFC586" w14:textId="524F5902" w:rsidR="00A37046" w:rsidRPr="00803F50" w:rsidRDefault="00A37046"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6127CA">
      <w:pPr>
        <w:spacing w:line="360" w:lineRule="auto"/>
        <w:jc w:val="both"/>
        <w:rPr>
          <w:rFonts w:ascii="Palatino Linotype" w:hAnsi="Palatino Linotype"/>
          <w:sz w:val="20"/>
          <w:szCs w:val="20"/>
        </w:rPr>
      </w:pPr>
    </w:p>
    <w:p w14:paraId="082E7599" w14:textId="43EAF98A" w:rsidR="00D57E1C"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6127CA">
      <w:pPr>
        <w:spacing w:line="360" w:lineRule="auto"/>
        <w:jc w:val="both"/>
        <w:rPr>
          <w:rFonts w:ascii="Palatino Linotype" w:hAnsi="Palatino Linotype"/>
          <w:color w:val="202124"/>
          <w:sz w:val="20"/>
          <w:szCs w:val="20"/>
        </w:rPr>
      </w:pPr>
    </w:p>
    <w:p w14:paraId="659C92D0" w14:textId="7B89971D" w:rsidR="0095611C" w:rsidRPr="00803F50" w:rsidRDefault="0095611C"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6127CA">
      <w:pPr>
        <w:spacing w:line="360" w:lineRule="auto"/>
        <w:jc w:val="both"/>
        <w:rPr>
          <w:rFonts w:ascii="Palatino Linotype" w:hAnsi="Palatino Linotype"/>
          <w:sz w:val="20"/>
          <w:szCs w:val="20"/>
        </w:rPr>
      </w:pPr>
    </w:p>
    <w:p w14:paraId="15692BC6" w14:textId="7727B138" w:rsidR="00D57E1C" w:rsidRPr="00803F50" w:rsidRDefault="00A45083" w:rsidP="006127C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6127CA">
      <w:pPr>
        <w:spacing w:line="360" w:lineRule="auto"/>
        <w:jc w:val="both"/>
        <w:rPr>
          <w:rFonts w:ascii="Palatino Linotype" w:hAnsi="Palatino Linotype"/>
          <w:sz w:val="20"/>
          <w:szCs w:val="20"/>
        </w:rPr>
      </w:pPr>
    </w:p>
    <w:p w14:paraId="04D00172" w14:textId="08262A2A" w:rsidR="00A45083" w:rsidRPr="00803F50" w:rsidRDefault="00E66595"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6127CA">
      <w:pPr>
        <w:spacing w:line="360" w:lineRule="auto"/>
        <w:jc w:val="both"/>
        <w:rPr>
          <w:rFonts w:ascii="Palatino Linotype" w:hAnsi="Palatino Linotype"/>
          <w:sz w:val="20"/>
          <w:szCs w:val="20"/>
        </w:rPr>
      </w:pPr>
    </w:p>
    <w:p w14:paraId="2ECF6CB3" w14:textId="260A9B8A" w:rsidR="00EE4FAE" w:rsidRPr="00803F50" w:rsidRDefault="00D308B6" w:rsidP="006127CA">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6127CA">
      <w:pPr>
        <w:spacing w:line="360" w:lineRule="auto"/>
        <w:jc w:val="both"/>
        <w:rPr>
          <w:rFonts w:ascii="Palatino Linotype" w:hAnsi="Palatino Linotype"/>
          <w:sz w:val="20"/>
          <w:szCs w:val="20"/>
        </w:rPr>
      </w:pPr>
    </w:p>
    <w:p w14:paraId="138D25A9" w14:textId="773D380D" w:rsidR="00A45083" w:rsidRPr="00803F50" w:rsidRDefault="00A45083"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6127CA">
      <w:pPr>
        <w:spacing w:line="360" w:lineRule="auto"/>
        <w:jc w:val="both"/>
        <w:rPr>
          <w:rFonts w:ascii="Palatino Linotype" w:hAnsi="Palatino Linotype"/>
          <w:color w:val="202124"/>
          <w:sz w:val="20"/>
          <w:szCs w:val="20"/>
        </w:rPr>
      </w:pPr>
    </w:p>
    <w:p w14:paraId="46CE1E1E" w14:textId="0F3FD231" w:rsidR="000B33BF"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6127CA">
      <w:pPr>
        <w:spacing w:line="360" w:lineRule="auto"/>
        <w:jc w:val="both"/>
        <w:rPr>
          <w:rFonts w:ascii="Palatino Linotype" w:hAnsi="Palatino Linotype"/>
          <w:color w:val="202124"/>
          <w:sz w:val="20"/>
          <w:szCs w:val="20"/>
        </w:rPr>
      </w:pPr>
    </w:p>
    <w:p w14:paraId="58C4C803" w14:textId="6C69ECE0" w:rsidR="005C01B8" w:rsidRPr="00803F50" w:rsidRDefault="005C01B8" w:rsidP="006127C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6127CA">
      <w:pPr>
        <w:spacing w:line="360" w:lineRule="auto"/>
        <w:jc w:val="both"/>
        <w:rPr>
          <w:rFonts w:ascii="Palatino Linotype" w:hAnsi="Palatino Linotype"/>
          <w:color w:val="202124"/>
          <w:sz w:val="20"/>
          <w:szCs w:val="20"/>
        </w:rPr>
      </w:pPr>
    </w:p>
    <w:p w14:paraId="537B3F07" w14:textId="73C7B224" w:rsidR="00384D5E"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6127CA">
      <w:pPr>
        <w:spacing w:line="360" w:lineRule="auto"/>
        <w:jc w:val="both"/>
        <w:rPr>
          <w:rFonts w:ascii="Palatino Linotype" w:hAnsi="Palatino Linotype"/>
          <w:color w:val="202124"/>
          <w:sz w:val="20"/>
          <w:szCs w:val="20"/>
        </w:rPr>
      </w:pPr>
    </w:p>
    <w:p w14:paraId="17CA680F" w14:textId="003A9E80" w:rsidR="00012AE6" w:rsidRPr="00803F50" w:rsidRDefault="00012AE6"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6127C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349C2603" w14:textId="2C0E9FE0" w:rsidR="0074414C" w:rsidRDefault="0074414C" w:rsidP="006127CA">
      <w:pPr>
        <w:pStyle w:val="Heading2"/>
        <w:spacing w:line="360" w:lineRule="auto"/>
        <w:ind w:left="0"/>
      </w:pPr>
      <w:r>
        <w:t xml:space="preserve">The Black-Scholes Option Pricing Model </w:t>
      </w:r>
    </w:p>
    <w:p w14:paraId="0AA7B386" w14:textId="0DB5CC3B" w:rsidR="00BC1FEE" w:rsidRPr="00803F50" w:rsidRDefault="00BC1FEE" w:rsidP="006127CA">
      <w:pPr>
        <w:pStyle w:val="Heading3"/>
        <w:spacing w:line="360" w:lineRule="auto"/>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6127CA">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w:t>
      </w:r>
      <w:proofErr w:type="spellStart"/>
      <w:r w:rsidR="008F36D4" w:rsidRPr="00803F50">
        <w:rPr>
          <w:rFonts w:ascii="Palatino Linotype" w:hAnsi="Palatino Linotype"/>
          <w:sz w:val="20"/>
          <w:szCs w:val="20"/>
        </w:rPr>
        <w:t>Uhlenbeck</w:t>
      </w:r>
      <w:proofErr w:type="spellEnd"/>
      <w:r w:rsidR="008F36D4" w:rsidRPr="00803F50">
        <w:rPr>
          <w:rFonts w:ascii="Palatino Linotype" w:hAnsi="Palatino Linotype"/>
          <w:sz w:val="20"/>
          <w:szCs w:val="20"/>
        </w:rPr>
        <w:t xml:space="preserve"> process</w:t>
      </w:r>
      <w:r w:rsidR="00B178F3" w:rsidRPr="00803F50">
        <w:rPr>
          <w:rFonts w:ascii="Palatino Linotype" w:hAnsi="Palatino Linotype"/>
          <w:sz w:val="20"/>
          <w:szCs w:val="20"/>
        </w:rPr>
        <w:t>:</w:t>
      </w:r>
    </w:p>
    <w:p w14:paraId="2F7E69A3" w14:textId="77777777" w:rsidR="00B178F3" w:rsidRPr="00803F50" w:rsidRDefault="00B178F3" w:rsidP="006127CA">
      <w:pPr>
        <w:spacing w:line="360" w:lineRule="auto"/>
        <w:jc w:val="both"/>
        <w:rPr>
          <w:rFonts w:ascii="Palatino Linotype" w:hAnsi="Palatino Linotype"/>
          <w:color w:val="202124"/>
          <w:sz w:val="20"/>
          <w:szCs w:val="20"/>
        </w:rPr>
      </w:pPr>
    </w:p>
    <w:p w14:paraId="7B452728" w14:textId="75420F87" w:rsidR="00B178F3" w:rsidRPr="00803F50" w:rsidRDefault="00B178F3"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6127CA">
      <w:pPr>
        <w:spacing w:line="360" w:lineRule="auto"/>
        <w:jc w:val="both"/>
        <w:rPr>
          <w:rFonts w:ascii="Palatino Linotype" w:hAnsi="Palatino Linotype"/>
          <w:sz w:val="20"/>
          <w:szCs w:val="20"/>
        </w:rPr>
      </w:pPr>
      <m:oMathPara>
        <m:oMath>
          <m:r>
            <w:rPr>
              <w:rFonts w:ascii="Cambria Math" w:hAnsi="Cambria Math"/>
              <w:sz w:val="20"/>
              <w:szCs w:val="20"/>
            </w:rPr>
            <w:lastRenderedPageBreak/>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6127CA">
      <w:pPr>
        <w:spacing w:line="360" w:lineRule="auto"/>
        <w:jc w:val="both"/>
        <w:rPr>
          <w:rFonts w:ascii="Palatino Linotype" w:hAnsi="Palatino Linotype"/>
          <w:sz w:val="20"/>
          <w:szCs w:val="20"/>
        </w:rPr>
      </w:pPr>
    </w:p>
    <w:p w14:paraId="632E7BAC" w14:textId="029BC79E" w:rsidR="00B30262" w:rsidRPr="00803F50" w:rsidRDefault="00B30262"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6127CA">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6127CA">
      <w:pPr>
        <w:spacing w:line="360" w:lineRule="auto"/>
        <w:jc w:val="both"/>
        <w:rPr>
          <w:rFonts w:ascii="Palatino Linotype" w:hAnsi="Palatino Linotype"/>
          <w:sz w:val="20"/>
          <w:szCs w:val="20"/>
        </w:rPr>
      </w:pPr>
    </w:p>
    <w:p w14:paraId="1E4C3694" w14:textId="2A33330E" w:rsidR="00A23C84" w:rsidRPr="00803F50" w:rsidRDefault="009859DB" w:rsidP="006127CA">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6127CA">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6127CA">
      <w:pPr>
        <w:spacing w:line="360" w:lineRule="auto"/>
        <w:jc w:val="both"/>
        <w:rPr>
          <w:rFonts w:ascii="Palatino Linotype" w:hAnsi="Palatino Linotype"/>
          <w:sz w:val="20"/>
          <w:szCs w:val="20"/>
        </w:rPr>
      </w:pPr>
    </w:p>
    <w:p w14:paraId="30ACD57F" w14:textId="5BC509F4" w:rsidR="00A703A8" w:rsidRPr="00803F50" w:rsidRDefault="00A703A8"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6127CA">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6127CA">
      <w:pPr>
        <w:pStyle w:val="Heading3"/>
        <w:spacing w:line="360" w:lineRule="auto"/>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6127CA">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6127C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6127CA">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6127CA">
      <w:pPr>
        <w:spacing w:line="360" w:lineRule="auto"/>
        <w:jc w:val="both"/>
        <w:rPr>
          <w:rFonts w:ascii="Palatino Linotype" w:hAnsi="Palatino Linotype"/>
          <w:sz w:val="20"/>
          <w:szCs w:val="20"/>
        </w:rPr>
      </w:pPr>
    </w:p>
    <w:p w14:paraId="5816DB9F" w14:textId="1D89DBC8" w:rsidR="003121D7" w:rsidRPr="00803F50" w:rsidRDefault="009859DB" w:rsidP="006127C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6127CA">
      <w:pPr>
        <w:spacing w:line="360" w:lineRule="auto"/>
        <w:jc w:val="both"/>
        <w:rPr>
          <w:rFonts w:ascii="Palatino Linotype" w:hAnsi="Palatino Linotype"/>
          <w:sz w:val="20"/>
          <w:szCs w:val="20"/>
        </w:rPr>
      </w:pPr>
    </w:p>
    <w:p w14:paraId="7E6C657C" w14:textId="02B94FDF" w:rsidR="00C15F78" w:rsidRPr="00803F50" w:rsidRDefault="00B57C46" w:rsidP="006127CA">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6127CA">
      <w:pPr>
        <w:spacing w:line="360" w:lineRule="auto"/>
        <w:jc w:val="both"/>
        <w:rPr>
          <w:rFonts w:ascii="Palatino Linotype" w:hAnsi="Palatino Linotype"/>
          <w:sz w:val="20"/>
          <w:szCs w:val="20"/>
        </w:rPr>
      </w:pPr>
    </w:p>
    <w:p w14:paraId="494BA327" w14:textId="7D6EA3DA" w:rsidR="00C15F78" w:rsidRPr="00803F50" w:rsidRDefault="00066C52"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6127CA">
      <w:pPr>
        <w:spacing w:line="360" w:lineRule="auto"/>
        <w:jc w:val="both"/>
        <w:rPr>
          <w:rFonts w:ascii="Palatino Linotype" w:hAnsi="Palatino Linotype"/>
          <w:sz w:val="20"/>
          <w:szCs w:val="20"/>
        </w:rPr>
      </w:pPr>
    </w:p>
    <w:p w14:paraId="20135D4B" w14:textId="534A552A" w:rsidR="00761F2F" w:rsidRPr="00803F50" w:rsidRDefault="00015700" w:rsidP="006127CA">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6127CA">
      <w:pPr>
        <w:spacing w:line="360" w:lineRule="auto"/>
        <w:jc w:val="both"/>
        <w:rPr>
          <w:rFonts w:ascii="Palatino Linotype" w:hAnsi="Palatino Linotype"/>
          <w:sz w:val="20"/>
          <w:szCs w:val="20"/>
        </w:rPr>
      </w:pPr>
    </w:p>
    <w:p w14:paraId="5882D804" w14:textId="199C0C34" w:rsidR="002E4B9F" w:rsidRPr="00803F50" w:rsidRDefault="00066C52"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9859DB" w:rsidP="006127C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6127CA">
      <w:pPr>
        <w:spacing w:line="360" w:lineRule="auto"/>
        <w:jc w:val="both"/>
        <w:rPr>
          <w:rFonts w:ascii="Palatino Linotype" w:hAnsi="Palatino Linotype"/>
          <w:sz w:val="20"/>
          <w:szCs w:val="20"/>
        </w:rPr>
      </w:pPr>
    </w:p>
    <w:p w14:paraId="12534F66" w14:textId="4A679E13" w:rsidR="003E5783" w:rsidRPr="00803F50" w:rsidRDefault="005C1B7E" w:rsidP="006127CA">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6127CA">
      <w:pPr>
        <w:spacing w:line="360" w:lineRule="auto"/>
        <w:jc w:val="both"/>
        <w:rPr>
          <w:rFonts w:ascii="Palatino Linotype" w:hAnsi="Palatino Linotype"/>
          <w:sz w:val="20"/>
          <w:szCs w:val="20"/>
        </w:rPr>
      </w:pPr>
    </w:p>
    <w:p w14:paraId="2119B3BB" w14:textId="07AD7FAF" w:rsidR="003E5783"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6127CA">
      <w:pPr>
        <w:spacing w:line="360" w:lineRule="auto"/>
        <w:jc w:val="both"/>
        <w:rPr>
          <w:rFonts w:ascii="Palatino Linotype" w:hAnsi="Palatino Linotype"/>
          <w:color w:val="202124"/>
          <w:sz w:val="20"/>
          <w:szCs w:val="20"/>
        </w:rPr>
      </w:pPr>
    </w:p>
    <w:p w14:paraId="3DDFB0B2" w14:textId="65EFD8BE" w:rsidR="00040041" w:rsidRPr="00803F50" w:rsidRDefault="00FD084B"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285FF96A" w14:textId="397E41B7" w:rsidR="0013210E" w:rsidRDefault="0013210E" w:rsidP="006127CA">
      <w:pPr>
        <w:pStyle w:val="Heading2"/>
        <w:spacing w:line="360" w:lineRule="auto"/>
      </w:pPr>
      <w:r>
        <w:lastRenderedPageBreak/>
        <w:t>Implied Volatility</w:t>
      </w:r>
    </w:p>
    <w:p w14:paraId="026476E2" w14:textId="009C7C4B" w:rsidR="00162453" w:rsidRPr="00B15848" w:rsidRDefault="00162453" w:rsidP="006127CA">
      <w:pPr>
        <w:pStyle w:val="Heading3"/>
        <w:spacing w:line="360" w:lineRule="auto"/>
        <w:rPr>
          <w:rFonts w:ascii="Palatino Linotype" w:hAnsi="Palatino Linotype"/>
        </w:rPr>
      </w:pPr>
      <w:r w:rsidRPr="00803F50">
        <w:rPr>
          <w:rFonts w:ascii="Palatino Linotype" w:hAnsi="Palatino Linotype"/>
        </w:rPr>
        <w:t>Implied volatility under the Black-Scholes model</w:t>
      </w:r>
    </w:p>
    <w:p w14:paraId="5E6A161F" w14:textId="562B8BE9" w:rsidR="00040041" w:rsidRPr="00803F50" w:rsidRDefault="00162453"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6127CA">
      <w:pPr>
        <w:spacing w:line="360" w:lineRule="auto"/>
        <w:jc w:val="both"/>
        <w:rPr>
          <w:rFonts w:ascii="Palatino Linotype" w:hAnsi="Palatino Linotype"/>
          <w:color w:val="202124"/>
          <w:sz w:val="20"/>
          <w:szCs w:val="20"/>
        </w:rPr>
      </w:pPr>
    </w:p>
    <w:p w14:paraId="02AC22A2" w14:textId="6E49CE7A" w:rsidR="00470880"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6127CA">
      <w:pPr>
        <w:spacing w:line="360" w:lineRule="auto"/>
        <w:jc w:val="both"/>
        <w:rPr>
          <w:rFonts w:ascii="Palatino Linotype" w:hAnsi="Palatino Linotype"/>
          <w:color w:val="202124"/>
          <w:sz w:val="20"/>
          <w:szCs w:val="20"/>
        </w:rPr>
      </w:pPr>
    </w:p>
    <w:p w14:paraId="39FFC72D" w14:textId="2DF6A448" w:rsidR="00D409B0" w:rsidRPr="00803F50" w:rsidRDefault="00470880"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6127CA">
      <w:pPr>
        <w:pStyle w:val="Heading3"/>
        <w:spacing w:line="360" w:lineRule="auto"/>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6127CA">
      <w:pPr>
        <w:pStyle w:val="Heading3"/>
        <w:spacing w:line="360" w:lineRule="auto"/>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w:t>
      </w:r>
      <w:proofErr w:type="spellStart"/>
      <w:r w:rsidR="00C73B34">
        <w:rPr>
          <w:rFonts w:ascii="Palatino Linotype" w:hAnsi="Palatino Linotype"/>
          <w:color w:val="202124"/>
          <w:sz w:val="20"/>
          <w:szCs w:val="20"/>
        </w:rPr>
        <w:t>Quantlib’s</w:t>
      </w:r>
      <w:proofErr w:type="spellEnd"/>
      <w:r w:rsidR="00C73B34">
        <w:rPr>
          <w:rFonts w:ascii="Palatino Linotype" w:hAnsi="Palatino Linotype"/>
          <w:color w:val="202124"/>
          <w:sz w:val="20"/>
          <w:szCs w:val="20"/>
        </w:rPr>
        <w:t xml:space="preserve">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6127CA">
      <w:pPr>
        <w:spacing w:line="360" w:lineRule="auto"/>
        <w:jc w:val="both"/>
        <w:rPr>
          <w:rFonts w:ascii="Palatino Linotype" w:hAnsi="Palatino Linotype"/>
          <w:color w:val="202124"/>
          <w:sz w:val="20"/>
          <w:szCs w:val="20"/>
        </w:rPr>
      </w:pPr>
    </w:p>
    <w:p w14:paraId="121C8FD0" w14:textId="23CF7D99" w:rsidR="00D23936" w:rsidRPr="00803F50" w:rsidRDefault="00335261" w:rsidP="006127C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w:t>
      </w:r>
      <w:proofErr w:type="spellStart"/>
      <w:r w:rsidRPr="00803F50">
        <w:rPr>
          <w:rFonts w:ascii="Palatino Linotype" w:hAnsi="Palatino Linotype"/>
          <w:sz w:val="20"/>
          <w:szCs w:val="20"/>
        </w:rPr>
        <w:t>Derman</w:t>
      </w:r>
      <w:proofErr w:type="spellEnd"/>
      <w:r w:rsidRPr="00803F50">
        <w:rPr>
          <w:rFonts w:ascii="Palatino Linotype" w:hAnsi="Palatino Linotype"/>
          <w:sz w:val="20"/>
          <w:szCs w:val="20"/>
        </w:rPr>
        <w:t xml:space="preserve"> and </w:t>
      </w:r>
      <w:proofErr w:type="spellStart"/>
      <w:r w:rsidRPr="00803F50">
        <w:rPr>
          <w:rFonts w:ascii="Palatino Linotype" w:hAnsi="Palatino Linotype"/>
          <w:sz w:val="20"/>
          <w:szCs w:val="20"/>
        </w:rPr>
        <w:t>Kani</w:t>
      </w:r>
      <w:proofErr w:type="spellEnd"/>
      <w:r w:rsidRPr="00803F50">
        <w:rPr>
          <w:rFonts w:ascii="Palatino Linotype" w:hAnsi="Palatino Linotype"/>
          <w:sz w:val="20"/>
          <w:szCs w:val="20"/>
        </w:rPr>
        <w:t xml:space="preserve">,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6127CA">
      <w:pPr>
        <w:spacing w:line="360" w:lineRule="auto"/>
        <w:jc w:val="both"/>
        <w:rPr>
          <w:rFonts w:ascii="Palatino Linotype" w:hAnsi="Palatino Linotype"/>
          <w:sz w:val="20"/>
          <w:szCs w:val="20"/>
        </w:rPr>
      </w:pPr>
    </w:p>
    <w:p w14:paraId="0FC2B509" w14:textId="666EC967" w:rsidR="00113D8A" w:rsidRPr="00803F50" w:rsidRDefault="00066C52"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6127CA">
      <w:pPr>
        <w:spacing w:line="360" w:lineRule="auto"/>
        <w:jc w:val="both"/>
        <w:rPr>
          <w:rFonts w:ascii="Palatino Linotype" w:hAnsi="Palatino Linotype"/>
          <w:color w:val="202124"/>
          <w:sz w:val="20"/>
          <w:szCs w:val="20"/>
        </w:rPr>
      </w:pPr>
    </w:p>
    <w:p w14:paraId="4F6E294D" w14:textId="64A5A36D" w:rsidR="003336B5" w:rsidRPr="00803F50" w:rsidRDefault="00113D8A"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Firstly, the solution was found by </w:t>
      </w:r>
      <w:proofErr w:type="spellStart"/>
      <w:r w:rsidRPr="00803F50">
        <w:rPr>
          <w:rFonts w:ascii="Palatino Linotype" w:hAnsi="Palatino Linotype"/>
          <w:color w:val="202124"/>
          <w:sz w:val="20"/>
          <w:szCs w:val="20"/>
        </w:rPr>
        <w:t>Derman</w:t>
      </w:r>
      <w:proofErr w:type="spellEnd"/>
      <w:r w:rsidRPr="00803F50">
        <w:rPr>
          <w:rFonts w:ascii="Palatino Linotype" w:hAnsi="Palatino Linotype"/>
          <w:color w:val="202124"/>
          <w:sz w:val="20"/>
          <w:szCs w:val="20"/>
        </w:rPr>
        <w:t xml:space="preserve"> and </w:t>
      </w:r>
      <w:proofErr w:type="spellStart"/>
      <w:r w:rsidRPr="00803F50">
        <w:rPr>
          <w:rFonts w:ascii="Palatino Linotype" w:hAnsi="Palatino Linotype"/>
          <w:color w:val="202124"/>
          <w:sz w:val="20"/>
          <w:szCs w:val="20"/>
        </w:rPr>
        <w:t>Kani</w:t>
      </w:r>
      <w:proofErr w:type="spellEnd"/>
      <w:r w:rsidRPr="00803F50">
        <w:rPr>
          <w:rFonts w:ascii="Palatino Linotype" w:hAnsi="Palatino Linotype"/>
          <w:color w:val="202124"/>
          <w:sz w:val="20"/>
          <w:szCs w:val="20"/>
        </w:rPr>
        <w:t xml:space="preserve">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6127CA">
      <w:pPr>
        <w:spacing w:line="360" w:lineRule="auto"/>
        <w:jc w:val="both"/>
        <w:rPr>
          <w:rFonts w:ascii="Palatino Linotype" w:hAnsi="Palatino Linotype"/>
          <w:color w:val="202124"/>
          <w:sz w:val="20"/>
          <w:szCs w:val="20"/>
        </w:rPr>
      </w:pPr>
    </w:p>
    <w:p w14:paraId="73F1D837" w14:textId="5C812C53" w:rsidR="0060483B" w:rsidRPr="00803F50" w:rsidRDefault="009859DB" w:rsidP="006127C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9859DB" w:rsidP="006127C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6127CA">
      <w:pPr>
        <w:spacing w:line="360" w:lineRule="auto"/>
        <w:jc w:val="both"/>
        <w:rPr>
          <w:rFonts w:ascii="Palatino Linotype" w:hAnsi="Palatino Linotype"/>
          <w:color w:val="202124"/>
          <w:sz w:val="20"/>
          <w:szCs w:val="20"/>
        </w:rPr>
      </w:pPr>
    </w:p>
    <w:p w14:paraId="4EDDDD32" w14:textId="155BE389" w:rsidR="009F10AB" w:rsidRDefault="009F10AB"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6127CA">
      <w:pPr>
        <w:spacing w:line="360" w:lineRule="auto"/>
        <w:jc w:val="both"/>
        <w:rPr>
          <w:rFonts w:ascii="Palatino Linotype" w:hAnsi="Palatino Linotype"/>
          <w:color w:val="202124"/>
          <w:sz w:val="20"/>
          <w:szCs w:val="20"/>
        </w:rPr>
      </w:pPr>
    </w:p>
    <w:p w14:paraId="0392C0BE" w14:textId="1235821C" w:rsidR="009F10AB" w:rsidRPr="007D2C1A" w:rsidRDefault="009859DB" w:rsidP="006127C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6127CA">
      <w:pPr>
        <w:spacing w:line="360" w:lineRule="auto"/>
        <w:jc w:val="both"/>
        <w:rPr>
          <w:rFonts w:ascii="Palatino Linotype" w:hAnsi="Palatino Linotype"/>
          <w:color w:val="202124"/>
          <w:sz w:val="20"/>
          <w:szCs w:val="20"/>
        </w:rPr>
      </w:pPr>
    </w:p>
    <w:p w14:paraId="44467A3A" w14:textId="23C513EF" w:rsidR="009F10AB" w:rsidRPr="00803F50" w:rsidRDefault="009F10AB" w:rsidP="006127CA">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 xml:space="preserve">paper “Managing Smile Risk”, due to this contradiction between model and market, delta and </w:t>
      </w:r>
      <w:proofErr w:type="spellStart"/>
      <w:r w:rsidR="00FF7089" w:rsidRPr="00803F50">
        <w:rPr>
          <w:rFonts w:ascii="Palatino Linotype" w:hAnsi="Palatino Linotype"/>
          <w:color w:val="202124"/>
          <w:sz w:val="20"/>
          <w:szCs w:val="20"/>
        </w:rPr>
        <w:t>vega</w:t>
      </w:r>
      <w:proofErr w:type="spellEnd"/>
      <w:r w:rsidR="00FF7089" w:rsidRPr="00803F50">
        <w:rPr>
          <w:rFonts w:ascii="Palatino Linotype" w:hAnsi="Palatino Linotype"/>
          <w:color w:val="202124"/>
          <w:sz w:val="20"/>
          <w:szCs w:val="20"/>
        </w:rPr>
        <w:t xml:space="preserve"> hedges derived from the local volatility model can be unstable and may perform worse than naive Black-Scholes’ hedges.</w:t>
      </w:r>
    </w:p>
    <w:p w14:paraId="1909D2A9" w14:textId="688D2F32" w:rsidR="00335261" w:rsidRPr="00803F50" w:rsidRDefault="00335261" w:rsidP="006127C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w:t>
      </w:r>
      <w:r w:rsidRPr="00803F50">
        <w:rPr>
          <w:rFonts w:ascii="Palatino Linotype" w:hAnsi="Palatino Linotype"/>
          <w:sz w:val="20"/>
          <w:szCs w:val="20"/>
        </w:rPr>
        <w:lastRenderedPageBreak/>
        <w:t>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Cox–Ingersoll–Ross</w:t>
      </w:r>
      <w:r w:rsidR="0020594F" w:rsidRPr="00803F50">
        <w:rPr>
          <w:rFonts w:ascii="Palatino Linotype" w:hAnsi="Palatino Linotype"/>
          <w:sz w:val="20"/>
          <w:szCs w:val="20"/>
        </w:rPr>
        <w:t xml:space="preserve"> </w:t>
      </w:r>
      <w:r w:rsidR="0020594F">
        <w:rPr>
          <w:rFonts w:ascii="Palatino Linotype" w:hAnsi="Palatino Linotype"/>
          <w:sz w:val="20"/>
          <w:szCs w:val="20"/>
        </w:rPr>
        <w:t xml:space="preserve">, </w:t>
      </w:r>
      <w:r w:rsidR="00A0371E" w:rsidRPr="00803F50">
        <w:rPr>
          <w:rFonts w:ascii="Palatino Linotype" w:hAnsi="Palatino Linotype"/>
          <w:sz w:val="20"/>
          <w:szCs w:val="20"/>
        </w:rPr>
        <w:t xml:space="preserve">see </w:t>
      </w:r>
      <w:proofErr w:type="spellStart"/>
      <w:r w:rsidR="00A0371E" w:rsidRPr="00803F50">
        <w:rPr>
          <w:rFonts w:ascii="Palatino Linotype" w:hAnsi="Palatino Linotype"/>
          <w:sz w:val="20"/>
          <w:szCs w:val="20"/>
        </w:rPr>
        <w:t>Rasmusson</w:t>
      </w:r>
      <w:proofErr w:type="spellEnd"/>
      <w:r w:rsidR="00A0371E" w:rsidRPr="00803F50">
        <w:rPr>
          <w:rFonts w:ascii="Palatino Linotype" w:hAnsi="Palatino Linotype"/>
          <w:sz w:val="20"/>
          <w:szCs w:val="20"/>
        </w:rPr>
        <w:t>,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6127CA">
      <w:pPr>
        <w:spacing w:line="360" w:lineRule="auto"/>
        <w:jc w:val="both"/>
        <w:rPr>
          <w:rFonts w:ascii="Palatino Linotype" w:hAnsi="Palatino Linotype"/>
          <w:sz w:val="20"/>
          <w:szCs w:val="20"/>
        </w:rPr>
      </w:pPr>
    </w:p>
    <w:p w14:paraId="5CBF40D6" w14:textId="3F2E2275" w:rsidR="00066C52" w:rsidRPr="00803F50" w:rsidRDefault="00066C52" w:rsidP="006127C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6127C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6127CA">
      <w:pPr>
        <w:spacing w:line="360" w:lineRule="auto"/>
        <w:jc w:val="both"/>
        <w:rPr>
          <w:rFonts w:ascii="Palatino Linotype" w:hAnsi="Palatino Linotype"/>
          <w:sz w:val="20"/>
          <w:szCs w:val="20"/>
        </w:rPr>
      </w:pPr>
    </w:p>
    <w:p w14:paraId="13475DF3" w14:textId="62D5CE98" w:rsidR="009A27B7" w:rsidRPr="00803F50" w:rsidRDefault="009A27B7"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6127CA">
      <w:pPr>
        <w:spacing w:line="360" w:lineRule="auto"/>
        <w:jc w:val="both"/>
        <w:rPr>
          <w:rFonts w:ascii="Palatino Linotype" w:hAnsi="Palatino Linotype"/>
          <w:sz w:val="20"/>
          <w:szCs w:val="20"/>
        </w:rPr>
      </w:pPr>
    </w:p>
    <w:p w14:paraId="5AE32C48" w14:textId="517BA522" w:rsidR="00542216" w:rsidRPr="00803F50" w:rsidRDefault="006B65CA" w:rsidP="006127CA">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6127CA">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6127CA">
      <w:pPr>
        <w:spacing w:line="360" w:lineRule="auto"/>
        <w:jc w:val="both"/>
        <w:rPr>
          <w:rFonts w:ascii="Palatino Linotype" w:hAnsi="Palatino Linotype"/>
          <w:sz w:val="20"/>
          <w:szCs w:val="20"/>
        </w:rPr>
      </w:pPr>
    </w:p>
    <w:p w14:paraId="32464C4F" w14:textId="0AA4DC79" w:rsidR="00E25E7B" w:rsidRPr="00E942F2" w:rsidRDefault="009859DB" w:rsidP="006127CA">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 v,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6127CA">
      <w:pPr>
        <w:spacing w:line="360" w:lineRule="auto"/>
        <w:jc w:val="both"/>
        <w:rPr>
          <w:rFonts w:ascii="Palatino Linotype" w:hAnsi="Palatino Linotype"/>
          <w:color w:val="202124"/>
          <w:sz w:val="20"/>
          <w:szCs w:val="20"/>
        </w:rPr>
      </w:pPr>
    </w:p>
    <w:p w14:paraId="06522C5B" w14:textId="1DD4308B" w:rsidR="00FB4E8F" w:rsidRDefault="00A762F3"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7020F713" w14:textId="27D15681" w:rsidR="0013210E" w:rsidRDefault="0013210E" w:rsidP="006127CA">
      <w:pPr>
        <w:pStyle w:val="Heading2"/>
        <w:spacing w:line="360" w:lineRule="auto"/>
      </w:pPr>
      <w:r>
        <w:t>SABR Models</w:t>
      </w:r>
    </w:p>
    <w:p w14:paraId="2F07E345" w14:textId="21F9C68C" w:rsidR="00335261" w:rsidRPr="00803F50" w:rsidRDefault="00335261" w:rsidP="006127CA">
      <w:pPr>
        <w:pStyle w:val="Heading3"/>
        <w:spacing w:line="360" w:lineRule="auto"/>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6127CA">
      <w:pPr>
        <w:spacing w:line="360" w:lineRule="auto"/>
        <w:jc w:val="both"/>
        <w:rPr>
          <w:rFonts w:ascii="Palatino Linotype" w:hAnsi="Palatino Linotype"/>
          <w:sz w:val="20"/>
          <w:szCs w:val="20"/>
        </w:rPr>
      </w:pPr>
    </w:p>
    <w:p w14:paraId="4D8709CC" w14:textId="73FBED8E" w:rsidR="009879B4" w:rsidRPr="00803F50" w:rsidRDefault="009879B4"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6127CA">
      <w:pPr>
        <w:spacing w:line="360" w:lineRule="auto"/>
        <w:jc w:val="both"/>
        <w:rPr>
          <w:rFonts w:ascii="Palatino Linotype" w:hAnsi="Palatino Linotype"/>
          <w:color w:val="202124"/>
          <w:sz w:val="20"/>
          <w:szCs w:val="20"/>
        </w:rPr>
      </w:pPr>
    </w:p>
    <w:p w14:paraId="515A77BD" w14:textId="5E911795" w:rsidR="000E36C7" w:rsidRPr="00803F50" w:rsidRDefault="000E36C7"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6127C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6127CA">
      <w:pPr>
        <w:spacing w:line="360" w:lineRule="auto"/>
        <w:jc w:val="both"/>
        <w:rPr>
          <w:rFonts w:ascii="Palatino Linotype" w:hAnsi="Palatino Linotype"/>
          <w:sz w:val="20"/>
          <w:szCs w:val="20"/>
        </w:rPr>
      </w:pPr>
    </w:p>
    <w:p w14:paraId="6A516356" w14:textId="23D2E902" w:rsidR="0043718A" w:rsidRPr="00803F50" w:rsidRDefault="0043718A"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6127CA">
      <w:pPr>
        <w:spacing w:line="360" w:lineRule="auto"/>
        <w:jc w:val="both"/>
        <w:rPr>
          <w:rFonts w:ascii="Palatino Linotype" w:hAnsi="Palatino Linotype"/>
          <w:sz w:val="20"/>
          <w:szCs w:val="20"/>
        </w:rPr>
      </w:pPr>
    </w:p>
    <w:p w14:paraId="3E06B8C6" w14:textId="4A57528B" w:rsidR="00E85EDB" w:rsidRPr="00803F50" w:rsidRDefault="003139D5" w:rsidP="006127CA">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6127CA">
      <w:pPr>
        <w:spacing w:line="360" w:lineRule="auto"/>
        <w:jc w:val="both"/>
        <w:rPr>
          <w:rFonts w:ascii="Palatino Linotype" w:hAnsi="Palatino Linotype"/>
          <w:sz w:val="20"/>
          <w:szCs w:val="20"/>
        </w:rPr>
      </w:pPr>
    </w:p>
    <w:p w14:paraId="1A5958B3" w14:textId="4DEA2348" w:rsidR="00E85EDB" w:rsidRPr="00803F50" w:rsidRDefault="009859DB" w:rsidP="006127C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6127CA">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6127CA">
      <w:pPr>
        <w:spacing w:line="360" w:lineRule="auto"/>
        <w:jc w:val="both"/>
        <w:rPr>
          <w:rFonts w:ascii="Palatino Linotype" w:hAnsi="Palatino Linotype"/>
          <w:sz w:val="20"/>
          <w:szCs w:val="20"/>
        </w:rPr>
      </w:pPr>
    </w:p>
    <w:p w14:paraId="5C26B07D" w14:textId="44321186" w:rsidR="00777F31" w:rsidRPr="00803F50" w:rsidRDefault="00DD4FEA"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6127CA">
      <w:pPr>
        <w:spacing w:line="360" w:lineRule="auto"/>
        <w:jc w:val="both"/>
        <w:rPr>
          <w:rFonts w:ascii="Palatino Linotype" w:hAnsi="Palatino Linotype"/>
          <w:sz w:val="20"/>
          <w:szCs w:val="20"/>
        </w:rPr>
      </w:pPr>
    </w:p>
    <w:p w14:paraId="0F05880B" w14:textId="359176B1" w:rsidR="0077448E" w:rsidRPr="00803F50" w:rsidRDefault="009859DB" w:rsidP="006127C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6127CA">
      <w:pPr>
        <w:spacing w:line="360" w:lineRule="auto"/>
        <w:jc w:val="both"/>
        <w:rPr>
          <w:rFonts w:ascii="Palatino Linotype" w:hAnsi="Palatino Linotype"/>
          <w:sz w:val="20"/>
          <w:szCs w:val="20"/>
        </w:rPr>
      </w:pPr>
    </w:p>
    <w:p w14:paraId="3B2395AF" w14:textId="7C060507" w:rsidR="004B5D13" w:rsidRDefault="0077448E"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6127CA">
      <w:pPr>
        <w:pStyle w:val="Heading3"/>
        <w:spacing w:line="360" w:lineRule="auto"/>
        <w:rPr>
          <w:rFonts w:ascii="Palatino Linotype" w:hAnsi="Palatino Linotype"/>
        </w:rPr>
      </w:pPr>
      <w:r>
        <w:rPr>
          <w:rFonts w:ascii="Palatino Linotype" w:hAnsi="Palatino Linotype"/>
        </w:rPr>
        <w:t>Backbone in SABR models</w:t>
      </w:r>
    </w:p>
    <w:p w14:paraId="7BE382A4" w14:textId="1727127D" w:rsidR="002C14B8" w:rsidRDefault="00DC4597"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t>
      </w:r>
      <w:r w:rsidR="000E2AE9">
        <w:rPr>
          <w:rFonts w:ascii="Palatino Linotype" w:hAnsi="Palatino Linotype"/>
          <w:color w:val="202124"/>
          <w:sz w:val="20"/>
          <w:szCs w:val="20"/>
        </w:rPr>
        <w:t>introducing their</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w:t>
      </w:r>
      <w:r w:rsidR="00637DED">
        <w:rPr>
          <w:rFonts w:ascii="Palatino Linotype" w:hAnsi="Palatino Linotype"/>
          <w:color w:val="202124"/>
          <w:sz w:val="20"/>
          <w:szCs w:val="20"/>
        </w:rPr>
        <w:lastRenderedPageBreak/>
        <w:t xml:space="preserve">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w:t>
      </w:r>
      <w:r w:rsidR="002C14B8">
        <w:rPr>
          <w:rFonts w:ascii="Palatino Linotype" w:hAnsi="Palatino Linotype"/>
          <w:color w:val="202124"/>
          <w:sz w:val="20"/>
          <w:szCs w:val="20"/>
        </w:rPr>
        <w:t>seems</w:t>
      </w:r>
      <w:r w:rsidR="007441BE">
        <w:rPr>
          <w:rFonts w:ascii="Palatino Linotype" w:hAnsi="Palatino Linotype"/>
          <w:color w:val="202124"/>
          <w:sz w:val="20"/>
          <w:szCs w:val="20"/>
        </w:rPr>
        <w:t xml:space="preserve">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r w:rsidR="002C14B8">
        <w:rPr>
          <w:rFonts w:ascii="Palatino Linotype" w:hAnsi="Palatino Linotype"/>
          <w:color w:val="202124"/>
          <w:sz w:val="20"/>
          <w:szCs w:val="20"/>
        </w:rPr>
        <w:t xml:space="preserve"> See below for a </w:t>
      </w:r>
      <w:r w:rsidR="009378A5">
        <w:rPr>
          <w:rFonts w:ascii="Palatino Linotype" w:hAnsi="Palatino Linotype"/>
          <w:color w:val="202124"/>
          <w:sz w:val="20"/>
          <w:szCs w:val="20"/>
        </w:rPr>
        <w:t xml:space="preserve">graphical </w:t>
      </w:r>
      <w:r w:rsidR="002C14B8">
        <w:rPr>
          <w:rFonts w:ascii="Palatino Linotype" w:hAnsi="Palatino Linotype"/>
          <w:color w:val="202124"/>
          <w:sz w:val="20"/>
          <w:szCs w:val="20"/>
        </w:rPr>
        <w:t xml:space="preserve">reconstruction of this </w:t>
      </w:r>
      <w:r w:rsidR="009378A5">
        <w:rPr>
          <w:rFonts w:ascii="Palatino Linotype" w:hAnsi="Palatino Linotype"/>
          <w:color w:val="202124"/>
          <w:sz w:val="20"/>
          <w:szCs w:val="20"/>
        </w:rPr>
        <w:t>response.</w:t>
      </w:r>
    </w:p>
    <w:p w14:paraId="50FD0C4B" w14:textId="06E5CC50" w:rsidR="00AE3C4D" w:rsidRDefault="00AE3C4D"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FIGURE (BACKBONE Beta=0)</w:t>
      </w:r>
    </w:p>
    <w:p w14:paraId="38DBC1C0" w14:textId="74337884" w:rsidR="00AE3C4D" w:rsidRDefault="00AE3C4D"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FIGURE (BACKBONE BETA=1)</w:t>
      </w:r>
    </w:p>
    <w:p w14:paraId="543795F4" w14:textId="53DA61B7" w:rsidR="00DC4597" w:rsidRPr="00422550" w:rsidRDefault="002C14B8"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most important outcome of this is that whenever the price of the forward </w:t>
      </w:r>
      <m:oMath>
        <m:r>
          <w:rPr>
            <w:rFonts w:ascii="Cambria Math" w:hAnsi="Cambria Math"/>
            <w:color w:val="202124"/>
            <w:sz w:val="20"/>
            <w:szCs w:val="20"/>
          </w:rPr>
          <m:t>f</m:t>
        </m:r>
      </m:oMath>
      <w:r>
        <w:rPr>
          <w:rFonts w:ascii="Palatino Linotype" w:hAnsi="Palatino Linotype"/>
          <w:color w:val="202124"/>
          <w:sz w:val="20"/>
          <w:szCs w:val="20"/>
        </w:rPr>
        <w:t xml:space="preserve"> changes, the implied volatility curve shifts in the same direction. This is extremely useful and is one of the major advantages of the SABR model.  </w:t>
      </w:r>
    </w:p>
    <w:p w14:paraId="33A30278" w14:textId="62D1DB62" w:rsidR="00335261" w:rsidRPr="00803F50" w:rsidRDefault="004B5D13" w:rsidP="006127CA">
      <w:pPr>
        <w:pStyle w:val="Heading3"/>
        <w:spacing w:line="360" w:lineRule="auto"/>
        <w:rPr>
          <w:rFonts w:ascii="Palatino Linotype" w:hAnsi="Palatino Linotype"/>
        </w:rPr>
      </w:pPr>
      <w:r w:rsidRPr="00803F50">
        <w:rPr>
          <w:rFonts w:ascii="Palatino Linotype" w:hAnsi="Palatino Linotype"/>
        </w:rPr>
        <w:t>SABR calibration</w:t>
      </w:r>
    </w:p>
    <w:p w14:paraId="4F33D201" w14:textId="3303705B" w:rsidR="0093409D" w:rsidRPr="00803F50" w:rsidRDefault="004B5D13" w:rsidP="006127CA">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6127CA">
      <w:pPr>
        <w:spacing w:line="360" w:lineRule="auto"/>
        <w:jc w:val="both"/>
        <w:rPr>
          <w:rFonts w:ascii="Palatino Linotype" w:hAnsi="Palatino Linotype"/>
          <w:color w:val="202124"/>
          <w:sz w:val="20"/>
          <w:szCs w:val="20"/>
        </w:rPr>
      </w:pPr>
    </w:p>
    <w:p w14:paraId="0CA7AE71" w14:textId="1B723AAA" w:rsidR="0093409D" w:rsidRPr="00803F50" w:rsidRDefault="0093409D" w:rsidP="006127C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6127C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6127CA">
      <w:pPr>
        <w:spacing w:line="360" w:lineRule="auto"/>
        <w:ind w:left="360"/>
        <w:jc w:val="both"/>
        <w:rPr>
          <w:rFonts w:ascii="Palatino Linotype" w:hAnsi="Palatino Linotype"/>
          <w:color w:val="202124"/>
          <w:sz w:val="20"/>
          <w:szCs w:val="20"/>
        </w:rPr>
      </w:pPr>
    </w:p>
    <w:p w14:paraId="79DA31E8" w14:textId="10D5DC56" w:rsidR="001C4699" w:rsidRDefault="001C4699"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6127CA">
      <w:pPr>
        <w:spacing w:line="360" w:lineRule="auto"/>
        <w:jc w:val="both"/>
        <w:rPr>
          <w:rFonts w:ascii="Palatino Linotype" w:hAnsi="Palatino Linotype"/>
          <w:color w:val="202124"/>
          <w:sz w:val="20"/>
          <w:szCs w:val="20"/>
        </w:rPr>
      </w:pPr>
    </w:p>
    <w:p w14:paraId="3713A571" w14:textId="18B1933C" w:rsidR="00F67826" w:rsidRPr="00611BC5" w:rsidRDefault="009859DB" w:rsidP="006127C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6127CA">
      <w:pPr>
        <w:spacing w:line="360" w:lineRule="auto"/>
        <w:jc w:val="both"/>
        <w:rPr>
          <w:rFonts w:ascii="Palatino Linotype" w:hAnsi="Palatino Linotype"/>
          <w:color w:val="202124"/>
          <w:sz w:val="20"/>
          <w:szCs w:val="20"/>
        </w:rPr>
      </w:pPr>
    </w:p>
    <w:p w14:paraId="57940E70" w14:textId="3D58BD79" w:rsidR="00E505B0" w:rsidRPr="00803F50" w:rsidRDefault="005F5CC4"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6127CA">
      <w:pPr>
        <w:spacing w:line="360" w:lineRule="auto"/>
        <w:jc w:val="both"/>
        <w:rPr>
          <w:rFonts w:ascii="Palatino Linotype" w:hAnsi="Palatino Linotype"/>
          <w:color w:val="202124"/>
          <w:sz w:val="20"/>
          <w:szCs w:val="20"/>
        </w:rPr>
      </w:pPr>
    </w:p>
    <w:p w14:paraId="1335FA18" w14:textId="2FA49248" w:rsidR="004B5D13" w:rsidRPr="00803F50" w:rsidRDefault="009859DB" w:rsidP="006127CA">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6127CA">
      <w:pPr>
        <w:spacing w:line="360" w:lineRule="auto"/>
        <w:jc w:val="both"/>
        <w:rPr>
          <w:rFonts w:ascii="Palatino Linotype" w:hAnsi="Palatino Linotype"/>
          <w:sz w:val="20"/>
          <w:szCs w:val="20"/>
        </w:rPr>
      </w:pPr>
    </w:p>
    <w:p w14:paraId="47353F98" w14:textId="51313DC4" w:rsidR="00F237EB" w:rsidRPr="00803F50" w:rsidRDefault="00F237EB"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6127CA">
      <w:pPr>
        <w:spacing w:line="360" w:lineRule="auto"/>
        <w:jc w:val="both"/>
        <w:rPr>
          <w:rFonts w:ascii="Palatino Linotype" w:hAnsi="Palatino Linotype"/>
          <w:color w:val="202124"/>
          <w:sz w:val="20"/>
          <w:szCs w:val="20"/>
        </w:rPr>
      </w:pPr>
    </w:p>
    <w:p w14:paraId="2BE1BB0C" w14:textId="0A689587" w:rsidR="00E9308B" w:rsidRPr="00803F50" w:rsidRDefault="009859DB" w:rsidP="006127C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6127CA">
      <w:pPr>
        <w:spacing w:line="360" w:lineRule="auto"/>
        <w:jc w:val="both"/>
        <w:rPr>
          <w:rFonts w:ascii="Palatino Linotype" w:hAnsi="Palatino Linotype"/>
          <w:color w:val="202124"/>
          <w:sz w:val="20"/>
          <w:szCs w:val="20"/>
        </w:rPr>
      </w:pPr>
    </w:p>
    <w:p w14:paraId="4D43143C" w14:textId="421BC692" w:rsidR="000C675C" w:rsidRPr="00803F50" w:rsidRDefault="000C675C"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6127CA">
      <w:pPr>
        <w:pStyle w:val="Heading3"/>
        <w:spacing w:line="360" w:lineRule="auto"/>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6127CA">
      <w:pPr>
        <w:spacing w:line="360" w:lineRule="auto"/>
        <w:jc w:val="both"/>
        <w:rPr>
          <w:rFonts w:ascii="Palatino Linotype" w:hAnsi="Palatino Linotype"/>
          <w:color w:val="202124"/>
          <w:sz w:val="20"/>
          <w:szCs w:val="20"/>
        </w:rPr>
      </w:pPr>
    </w:p>
    <w:p w14:paraId="55641839" w14:textId="198B122C" w:rsidR="009529CA" w:rsidRPr="00803F50" w:rsidRDefault="009529CA"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6127C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6127CA">
      <w:pPr>
        <w:spacing w:line="360" w:lineRule="auto"/>
        <w:jc w:val="both"/>
        <w:rPr>
          <w:rFonts w:ascii="Palatino Linotype" w:hAnsi="Palatino Linotype"/>
          <w:color w:val="202124"/>
          <w:sz w:val="20"/>
          <w:szCs w:val="20"/>
        </w:rPr>
      </w:pPr>
    </w:p>
    <w:p w14:paraId="4F5E2638" w14:textId="36A456C1" w:rsidR="009529CA" w:rsidRPr="00803F50" w:rsidRDefault="000D01A8"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N</m:t>
              </m:r>
            </m:sub>
          </m:sSub>
          <m:d>
            <m:dPr>
              <m:ctrlPr>
                <w:rPr>
                  <w:rFonts w:ascii="Cambria Math" w:hAnsi="Cambria Math"/>
                  <w:sz w:val="20"/>
                  <w:szCs w:val="20"/>
                </w:rPr>
              </m:ctrlPr>
            </m:dPr>
            <m:e>
              <m:r>
                <w:rPr>
                  <w:rFonts w:ascii="Cambria Math" w:hAnsi="Cambria Math"/>
                  <w:sz w:val="20"/>
                  <w:szCs w:val="20"/>
                </w:rPr>
                <m:t xml:space="preserve"> K</m:t>
              </m:r>
            </m:e>
          </m:d>
          <m:r>
            <w:rPr>
              <w:rFonts w:ascii="Cambria Math" w:hAnsi="Cambria Math"/>
              <w:sz w:val="20"/>
              <w:szCs w:val="20"/>
            </w:rPr>
            <m:t xml:space="preserve">=α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sz w:val="20"/>
                          <w:szCs w:val="20"/>
                        </w:rPr>
                      </m:ctrlPr>
                    </m:dPr>
                    <m:e>
                      <m:r>
                        <w:rPr>
                          <w:rFonts w:ascii="Cambria Math" w:hAnsi="Cambria Math"/>
                          <w:sz w:val="20"/>
                          <w:szCs w:val="20"/>
                        </w:rPr>
                        <m:t>z</m:t>
                      </m:r>
                    </m:e>
                  </m:d>
                </m:den>
              </m:f>
            </m:e>
          </m:d>
          <m:d>
            <m:dPr>
              <m:ctrlPr>
                <w:rPr>
                  <w:rFonts w:ascii="Cambria Math" w:hAnsi="Cambria Math"/>
                  <w:sz w:val="20"/>
                  <w:szCs w:val="20"/>
                </w:rPr>
              </m:ctrlPr>
            </m:dPr>
            <m:e>
              <m:r>
                <w:rPr>
                  <w:rFonts w:ascii="Cambria Math" w:hAnsi="Cambria Math"/>
                  <w:sz w:val="20"/>
                  <w:szCs w:val="20"/>
                </w:rPr>
                <m:t>1+</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ν</m:t>
                      </m:r>
                    </m:e>
                    <m:sup>
                      <m:r>
                        <w:rPr>
                          <w:rFonts w:ascii="Cambria Math" w:hAnsi="Cambria Math"/>
                          <w:sz w:val="20"/>
                          <w:szCs w:val="20"/>
                        </w:rPr>
                        <m:t>2</m:t>
                      </m:r>
                    </m:sup>
                  </m:sSup>
                  <m:d>
                    <m:dPr>
                      <m:ctrlPr>
                        <w:rPr>
                          <w:rFonts w:ascii="Cambria Math" w:hAnsi="Cambria Math"/>
                          <w:sz w:val="20"/>
                          <w:szCs w:val="20"/>
                        </w:rPr>
                      </m:ctrlPr>
                    </m:dPr>
                    <m:e>
                      <m:r>
                        <w:rPr>
                          <w:rFonts w:ascii="Cambria Math" w:hAnsi="Cambria Math"/>
                          <w:sz w:val="20"/>
                          <w:szCs w:val="20"/>
                        </w:rPr>
                        <m:t>2-3</m:t>
                      </m:r>
                      <m:sSup>
                        <m:sSupPr>
                          <m:ctrlPr>
                            <w:rPr>
                              <w:rFonts w:ascii="Cambria Math" w:hAnsi="Cambria Math"/>
                              <w:sz w:val="20"/>
                              <w:szCs w:val="20"/>
                            </w:rPr>
                          </m:ctrlPr>
                        </m:sSupPr>
                        <m:e>
                          <m:r>
                            <w:rPr>
                              <w:rFonts w:ascii="Cambria Math" w:hAnsi="Cambria Math"/>
                              <w:sz w:val="20"/>
                              <w:szCs w:val="20"/>
                            </w:rPr>
                            <m:t>ρ</m:t>
                          </m:r>
                        </m:e>
                        <m:sup>
                          <m:r>
                            <w:rPr>
                              <w:rFonts w:ascii="Cambria Math" w:hAnsi="Cambria Math"/>
                              <w:sz w:val="20"/>
                              <w:szCs w:val="20"/>
                            </w:rPr>
                            <m:t>2</m:t>
                          </m:r>
                        </m:sup>
                      </m:sSup>
                    </m:e>
                  </m:d>
                </m:num>
                <m:den>
                  <m:r>
                    <w:rPr>
                      <w:rFonts w:ascii="Cambria Math" w:hAnsi="Cambria Math"/>
                      <w:sz w:val="20"/>
                      <w:szCs w:val="20"/>
                    </w:rPr>
                    <m:t>24</m:t>
                  </m:r>
                </m:den>
              </m:f>
              <m:r>
                <w:rPr>
                  <w:rFonts w:ascii="Cambria Math" w:hAnsi="Cambria Math"/>
                  <w:sz w:val="20"/>
                  <w:szCs w:val="20"/>
                </w:rPr>
                <m:t>T</m:t>
              </m:r>
            </m:e>
          </m:d>
        </m:oMath>
      </m:oMathPara>
    </w:p>
    <w:p w14:paraId="6DADCA62" w14:textId="45857FF2" w:rsidR="00413998" w:rsidRPr="00803F50" w:rsidRDefault="00D308B6" w:rsidP="006127CA">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6127CA">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6127CA">
      <w:pPr>
        <w:spacing w:line="360" w:lineRule="auto"/>
        <w:jc w:val="both"/>
        <w:rPr>
          <w:rFonts w:ascii="Palatino Linotype" w:hAnsi="Palatino Linotype"/>
          <w:sz w:val="20"/>
          <w:szCs w:val="20"/>
        </w:rPr>
      </w:pPr>
    </w:p>
    <w:p w14:paraId="735838D2" w14:textId="10B55606" w:rsidR="0045796F" w:rsidRPr="00803F50" w:rsidRDefault="00355219" w:rsidP="006127CA">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6127CA">
      <w:pPr>
        <w:spacing w:line="360" w:lineRule="auto"/>
        <w:jc w:val="both"/>
        <w:rPr>
          <w:rFonts w:ascii="Palatino Linotype" w:hAnsi="Palatino Linotype"/>
          <w:sz w:val="20"/>
          <w:szCs w:val="20"/>
        </w:rPr>
      </w:pPr>
    </w:p>
    <w:p w14:paraId="7EF5BACB" w14:textId="637287D4" w:rsidR="0045796F" w:rsidRPr="00202FB5" w:rsidRDefault="009859DB" w:rsidP="006127C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6127CA">
      <w:pPr>
        <w:spacing w:line="360" w:lineRule="auto"/>
        <w:jc w:val="both"/>
        <w:rPr>
          <w:rFonts w:ascii="Palatino Linotype" w:hAnsi="Palatino Linotype"/>
          <w:sz w:val="20"/>
          <w:szCs w:val="20"/>
        </w:rPr>
      </w:pPr>
    </w:p>
    <w:p w14:paraId="06F9DD89" w14:textId="70CC51A7" w:rsidR="007C3305" w:rsidRDefault="007C3305" w:rsidP="006127CA">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6127CA">
      <w:pPr>
        <w:spacing w:line="360" w:lineRule="auto"/>
        <w:jc w:val="both"/>
        <w:rPr>
          <w:rFonts w:ascii="Palatino Linotype" w:hAnsi="Palatino Linotype"/>
          <w:sz w:val="20"/>
          <w:szCs w:val="20"/>
        </w:rPr>
      </w:pPr>
    </w:p>
    <w:p w14:paraId="1451554C" w14:textId="3D19D488" w:rsidR="0045796F" w:rsidRPr="00CB1639" w:rsidRDefault="009859DB" w:rsidP="006127C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6127CA">
      <w:pPr>
        <w:spacing w:line="360" w:lineRule="auto"/>
        <w:jc w:val="both"/>
        <w:rPr>
          <w:rFonts w:ascii="Palatino Linotype" w:hAnsi="Palatino Linotype"/>
          <w:color w:val="202124"/>
          <w:sz w:val="20"/>
          <w:szCs w:val="20"/>
        </w:rPr>
      </w:pPr>
    </w:p>
    <w:p w14:paraId="1A7F3022" w14:textId="6475BFF0" w:rsidR="00880694" w:rsidRPr="00803F50" w:rsidRDefault="001411F3" w:rsidP="006127CA">
      <w:pPr>
        <w:pStyle w:val="Heading3"/>
        <w:spacing w:line="360" w:lineRule="auto"/>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6127CA">
      <w:pPr>
        <w:spacing w:line="360" w:lineRule="auto"/>
        <w:jc w:val="both"/>
        <w:rPr>
          <w:rFonts w:ascii="Palatino Linotype" w:hAnsi="Palatino Linotype"/>
          <w:color w:val="202124"/>
          <w:sz w:val="20"/>
          <w:szCs w:val="20"/>
        </w:rPr>
      </w:pPr>
    </w:p>
    <w:p w14:paraId="2696EDBC" w14:textId="77E768B3" w:rsidR="007E7FD4" w:rsidRPr="00803F50" w:rsidRDefault="007E7FD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6127C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6127CA">
      <w:pPr>
        <w:spacing w:line="360" w:lineRule="auto"/>
        <w:jc w:val="both"/>
        <w:rPr>
          <w:rFonts w:ascii="Palatino Linotype" w:hAnsi="Palatino Linotype"/>
          <w:color w:val="202124"/>
          <w:sz w:val="20"/>
          <w:szCs w:val="20"/>
        </w:rPr>
      </w:pPr>
    </w:p>
    <w:p w14:paraId="4B7D724E" w14:textId="640A8D52" w:rsidR="007E7FD4" w:rsidRDefault="007E7FD4"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6127CA">
      <w:pPr>
        <w:spacing w:line="360" w:lineRule="auto"/>
        <w:jc w:val="both"/>
        <w:rPr>
          <w:rFonts w:ascii="Palatino Linotype" w:hAnsi="Palatino Linotype"/>
          <w:color w:val="202124"/>
          <w:sz w:val="20"/>
          <w:szCs w:val="20"/>
        </w:rPr>
      </w:pPr>
    </w:p>
    <w:p w14:paraId="689128A8" w14:textId="5719C647" w:rsidR="00611BC5" w:rsidRDefault="009859DB" w:rsidP="006127C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6127CA">
      <w:pPr>
        <w:spacing w:line="360" w:lineRule="auto"/>
        <w:jc w:val="both"/>
        <w:rPr>
          <w:rFonts w:ascii="Palatino Linotype" w:hAnsi="Palatino Linotype"/>
          <w:color w:val="202124"/>
          <w:sz w:val="20"/>
          <w:szCs w:val="20"/>
        </w:rPr>
      </w:pPr>
    </w:p>
    <w:p w14:paraId="5A2D64C1" w14:textId="76AFB195" w:rsidR="00880694" w:rsidRPr="00803F50" w:rsidRDefault="009230DF"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6127CA">
      <w:pPr>
        <w:pStyle w:val="Heading3"/>
        <w:spacing w:line="360" w:lineRule="auto"/>
        <w:rPr>
          <w:rFonts w:ascii="Palatino Linotype" w:hAnsi="Palatino Linotype"/>
        </w:rPr>
      </w:pPr>
      <w:r w:rsidRPr="00803F50">
        <w:rPr>
          <w:rFonts w:ascii="Palatino Linotype" w:hAnsi="Palatino Linotype"/>
        </w:rPr>
        <w:lastRenderedPageBreak/>
        <w:t xml:space="preserve">Free Boundary </w:t>
      </w:r>
      <w:r w:rsidR="001411F3" w:rsidRPr="00803F50">
        <w:rPr>
          <w:rFonts w:ascii="Palatino Linotype" w:hAnsi="Palatino Linotype"/>
        </w:rPr>
        <w:t>SABR</w:t>
      </w:r>
    </w:p>
    <w:p w14:paraId="01811C4A" w14:textId="28F08C07" w:rsidR="001411F3" w:rsidRDefault="00A20395"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6127CA">
      <w:pPr>
        <w:spacing w:line="360" w:lineRule="auto"/>
        <w:jc w:val="both"/>
        <w:rPr>
          <w:rFonts w:ascii="Palatino Linotype" w:hAnsi="Palatino Linotype"/>
          <w:color w:val="202124"/>
          <w:sz w:val="20"/>
          <w:szCs w:val="20"/>
        </w:rPr>
      </w:pPr>
    </w:p>
    <w:p w14:paraId="61876667" w14:textId="77777777" w:rsidR="00A319A1" w:rsidRPr="00A319A1" w:rsidRDefault="009859DB" w:rsidP="006127C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6127CA">
      <w:pPr>
        <w:spacing w:line="360" w:lineRule="auto"/>
        <w:jc w:val="both"/>
        <w:rPr>
          <w:rFonts w:ascii="Palatino Linotype" w:hAnsi="Palatino Linotype"/>
          <w:color w:val="202124"/>
          <w:sz w:val="20"/>
          <w:szCs w:val="20"/>
        </w:rPr>
      </w:pPr>
    </w:p>
    <w:p w14:paraId="673A94A7" w14:textId="44C75297" w:rsidR="00EC1823" w:rsidRPr="00A319A1" w:rsidRDefault="00440C7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6127CA">
      <w:pPr>
        <w:spacing w:line="360" w:lineRule="auto"/>
        <w:jc w:val="both"/>
        <w:rPr>
          <w:rFonts w:ascii="Palatino Linotype" w:hAnsi="Palatino Linotype"/>
          <w:color w:val="202124"/>
          <w:sz w:val="20"/>
          <w:szCs w:val="20"/>
        </w:rPr>
      </w:pPr>
    </w:p>
    <w:p w14:paraId="75200745" w14:textId="4E764782" w:rsidR="00FA56B1" w:rsidRPr="00803F50" w:rsidRDefault="00C5211D"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w:t>
      </w:r>
      <w:proofErr w:type="spellStart"/>
      <w:r w:rsidRPr="00803F50">
        <w:rPr>
          <w:rFonts w:ascii="Palatino Linotype" w:hAnsi="Palatino Linotype"/>
          <w:color w:val="202124"/>
          <w:sz w:val="20"/>
          <w:szCs w:val="20"/>
        </w:rPr>
        <w:t>Floch</w:t>
      </w:r>
      <w:proofErr w:type="spellEnd"/>
      <w:r w:rsidRPr="00803F50">
        <w:rPr>
          <w:rFonts w:ascii="Palatino Linotype" w:hAnsi="Palatino Linotype"/>
          <w:color w:val="202124"/>
          <w:sz w:val="20"/>
          <w:szCs w:val="20"/>
        </w:rPr>
        <w:t xml:space="preserve">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TR-BDF2 and Lawson-Swayne stand out in terms of both speed and stability. </w:t>
      </w:r>
    </w:p>
    <w:p w14:paraId="4035644B" w14:textId="4E6A13EC" w:rsidR="003B1CC1" w:rsidRDefault="003B1CC1"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 xml:space="preserve">Le </w:t>
      </w:r>
      <w:proofErr w:type="spellStart"/>
      <w:r w:rsidR="00204974" w:rsidRPr="00803F50">
        <w:rPr>
          <w:rFonts w:ascii="Palatino Linotype" w:hAnsi="Palatino Linotype"/>
          <w:color w:val="202124"/>
          <w:sz w:val="20"/>
          <w:szCs w:val="20"/>
        </w:rPr>
        <w:t>Floch</w:t>
      </w:r>
      <w:proofErr w:type="spellEnd"/>
      <w:r w:rsidR="00204974" w:rsidRPr="00803F50">
        <w:rPr>
          <w:rFonts w:ascii="Palatino Linotype" w:hAnsi="Palatino Linotype"/>
          <w:color w:val="202124"/>
          <w:sz w:val="20"/>
          <w:szCs w:val="20"/>
        </w:rPr>
        <w:t xml:space="preserve">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6127CA">
      <w:pPr>
        <w:spacing w:line="360" w:lineRule="auto"/>
        <w:jc w:val="both"/>
        <w:rPr>
          <w:rFonts w:ascii="Palatino Linotype" w:hAnsi="Palatino Linotype"/>
          <w:color w:val="202124"/>
          <w:sz w:val="20"/>
          <w:szCs w:val="20"/>
        </w:rPr>
      </w:pPr>
    </w:p>
    <w:p w14:paraId="1D6A6234" w14:textId="5EB32C69" w:rsidR="00330BF4" w:rsidRPr="00803F50" w:rsidRDefault="00330BF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6127CA">
      <w:pPr>
        <w:spacing w:line="360" w:lineRule="auto"/>
        <w:jc w:val="both"/>
        <w:rPr>
          <w:rFonts w:ascii="Palatino Linotype" w:hAnsi="Palatino Linotype"/>
          <w:color w:val="202124"/>
          <w:sz w:val="20"/>
          <w:szCs w:val="20"/>
        </w:rPr>
      </w:pPr>
    </w:p>
    <w:p w14:paraId="140B686C" w14:textId="38A6A771" w:rsidR="00F51D79" w:rsidRPr="00803F50" w:rsidRDefault="00874DC9"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6127CA">
      <w:pPr>
        <w:spacing w:line="360" w:lineRule="auto"/>
        <w:jc w:val="both"/>
        <w:rPr>
          <w:rFonts w:ascii="Palatino Linotype" w:hAnsi="Palatino Linotype"/>
          <w:color w:val="202124"/>
          <w:sz w:val="20"/>
          <w:szCs w:val="20"/>
        </w:rPr>
      </w:pPr>
    </w:p>
    <w:p w14:paraId="74AF9261" w14:textId="58DF80DA" w:rsidR="00874DC9" w:rsidRPr="00803F50" w:rsidRDefault="00625CDA"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6127CA">
      <w:pPr>
        <w:spacing w:line="360" w:lineRule="auto"/>
        <w:jc w:val="both"/>
        <w:rPr>
          <w:rFonts w:ascii="Palatino Linotype" w:hAnsi="Palatino Linotype"/>
          <w:color w:val="202124"/>
          <w:sz w:val="20"/>
          <w:szCs w:val="20"/>
        </w:rPr>
      </w:pPr>
    </w:p>
    <w:p w14:paraId="25A47BBA" w14:textId="5E690715" w:rsidR="006A4AAB" w:rsidRPr="00803F50" w:rsidRDefault="009859DB" w:rsidP="006127CA">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6127CA">
      <w:pPr>
        <w:spacing w:line="360" w:lineRule="auto"/>
        <w:jc w:val="both"/>
        <w:rPr>
          <w:rFonts w:ascii="Palatino Linotype" w:hAnsi="Palatino Linotype"/>
          <w:color w:val="202124"/>
          <w:sz w:val="20"/>
          <w:szCs w:val="20"/>
        </w:rPr>
      </w:pPr>
    </w:p>
    <w:p w14:paraId="44D9BAFB" w14:textId="5D49C5BB" w:rsidR="00433E13" w:rsidRPr="00803F50" w:rsidRDefault="009859DB" w:rsidP="006127C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9859DB" w:rsidP="006127C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6127C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w:t>
      </w:r>
      <w:proofErr w:type="spellStart"/>
      <w:r w:rsidR="000278E0" w:rsidRPr="00803F50">
        <w:rPr>
          <w:rFonts w:ascii="Palatino Linotype" w:hAnsi="Palatino Linotype"/>
          <w:color w:val="202124"/>
          <w:sz w:val="20"/>
          <w:szCs w:val="20"/>
        </w:rPr>
        <w:t>Floch</w:t>
      </w:r>
      <w:proofErr w:type="spellEnd"/>
      <w:r w:rsidR="000278E0" w:rsidRPr="00803F50">
        <w:rPr>
          <w:rFonts w:ascii="Palatino Linotype" w:hAnsi="Palatino Linotype"/>
          <w:color w:val="202124"/>
          <w:sz w:val="20"/>
          <w:szCs w:val="20"/>
        </w:rPr>
        <w:t xml:space="preserve">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6127CA">
      <w:pPr>
        <w:spacing w:line="360" w:lineRule="auto"/>
        <w:jc w:val="both"/>
        <w:rPr>
          <w:rFonts w:ascii="Palatino Linotype" w:hAnsi="Palatino Linotype"/>
          <w:color w:val="202124"/>
          <w:sz w:val="20"/>
          <w:szCs w:val="20"/>
        </w:rPr>
      </w:pPr>
    </w:p>
    <w:p w14:paraId="13C72B63" w14:textId="7A304636" w:rsidR="00BC2C64" w:rsidRPr="003735FD" w:rsidRDefault="009859DB" w:rsidP="006127C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6127CA">
      <w:pPr>
        <w:spacing w:line="360" w:lineRule="auto"/>
        <w:jc w:val="both"/>
        <w:rPr>
          <w:rFonts w:ascii="Palatino Linotype" w:hAnsi="Palatino Linotype"/>
          <w:color w:val="202124"/>
          <w:sz w:val="20"/>
          <w:szCs w:val="20"/>
        </w:rPr>
      </w:pPr>
    </w:p>
    <w:p w14:paraId="039A155D" w14:textId="6F385662" w:rsidR="00132446" w:rsidRDefault="003735FD" w:rsidP="006127CA">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6127CA">
      <w:pPr>
        <w:spacing w:line="360" w:lineRule="auto"/>
        <w:jc w:val="both"/>
        <w:rPr>
          <w:rFonts w:ascii="Palatino Linotype" w:hAnsi="Palatino Linotype"/>
          <w:color w:val="202124"/>
          <w:sz w:val="20"/>
          <w:szCs w:val="20"/>
        </w:rPr>
      </w:pPr>
    </w:p>
    <w:p w14:paraId="11CE1938" w14:textId="7E8AD8FA" w:rsidR="002F4619" w:rsidRPr="00803F50" w:rsidRDefault="00C171E7" w:rsidP="006127CA">
      <w:pPr>
        <w:pStyle w:val="Heading3"/>
        <w:spacing w:line="360" w:lineRule="auto"/>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6127C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6127CA">
      <w:pPr>
        <w:spacing w:line="360" w:lineRule="auto"/>
        <w:jc w:val="both"/>
        <w:rPr>
          <w:rFonts w:ascii="Palatino Linotype" w:hAnsi="Palatino Linotype"/>
          <w:sz w:val="20"/>
          <w:szCs w:val="20"/>
        </w:rPr>
      </w:pPr>
    </w:p>
    <w:p w14:paraId="485EBA41" w14:textId="24F82DFE" w:rsidR="001E1E88" w:rsidRPr="00803F50" w:rsidRDefault="009859DB" w:rsidP="006127C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803F50" w:rsidRDefault="005256BF" w:rsidP="006127CA">
      <w:pPr>
        <w:spacing w:line="360" w:lineRule="auto"/>
        <w:jc w:val="both"/>
        <w:rPr>
          <w:rFonts w:ascii="Palatino Linotype" w:hAnsi="Palatino Linotype"/>
          <w:sz w:val="20"/>
          <w:szCs w:val="20"/>
        </w:rPr>
      </w:pPr>
    </w:p>
    <w:p w14:paraId="338D3E48" w14:textId="0E955F8D" w:rsidR="005256BF" w:rsidRPr="00803F50" w:rsidRDefault="005256BF" w:rsidP="006127CA">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9859DB" w:rsidP="006127C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6127C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9859DB" w:rsidP="006127C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6127C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6127C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6127CA">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9859DB" w:rsidP="006127CA">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6127CA">
      <w:pPr>
        <w:spacing w:line="360" w:lineRule="auto"/>
        <w:jc w:val="both"/>
        <w:rPr>
          <w:rFonts w:ascii="Palatino Linotype" w:hAnsi="Palatino Linotype"/>
          <w:sz w:val="20"/>
          <w:szCs w:val="20"/>
        </w:rPr>
      </w:pPr>
    </w:p>
    <w:p w14:paraId="09E445B5" w14:textId="575A2C34" w:rsidR="005256BF" w:rsidRPr="00803F50" w:rsidRDefault="005256BF"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6127CA">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6127CA">
      <w:pPr>
        <w:spacing w:line="360" w:lineRule="auto"/>
        <w:jc w:val="both"/>
        <w:rPr>
          <w:rFonts w:ascii="Palatino Linotype" w:hAnsi="Palatino Linotype"/>
          <w:sz w:val="20"/>
          <w:szCs w:val="20"/>
        </w:rPr>
      </w:pPr>
    </w:p>
    <w:p w14:paraId="2831778E" w14:textId="02040BE8" w:rsidR="00C11377" w:rsidRPr="00803F50" w:rsidRDefault="009859DB" w:rsidP="006127C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6127CA">
      <w:pPr>
        <w:spacing w:line="360" w:lineRule="auto"/>
        <w:jc w:val="both"/>
        <w:rPr>
          <w:rFonts w:ascii="Palatino Linotype" w:hAnsi="Palatino Linotype"/>
          <w:sz w:val="20"/>
          <w:szCs w:val="20"/>
        </w:rPr>
      </w:pPr>
    </w:p>
    <w:p w14:paraId="4F0E19CB" w14:textId="67C941B1" w:rsidR="004931BC" w:rsidRPr="00803F50" w:rsidRDefault="004931BC" w:rsidP="006127C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6127CA">
      <w:pPr>
        <w:spacing w:line="360" w:lineRule="auto"/>
        <w:jc w:val="both"/>
        <w:rPr>
          <w:rFonts w:ascii="Palatino Linotype" w:hAnsi="Palatino Linotype"/>
          <w:sz w:val="20"/>
          <w:szCs w:val="20"/>
        </w:rPr>
      </w:pPr>
    </w:p>
    <w:p w14:paraId="2AE95765" w14:textId="3AC67C4D" w:rsidR="004931BC" w:rsidRPr="00803F50" w:rsidRDefault="004931BC" w:rsidP="006127CA">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6127CA">
      <w:pPr>
        <w:spacing w:line="360" w:lineRule="auto"/>
        <w:jc w:val="both"/>
        <w:rPr>
          <w:rFonts w:ascii="Palatino Linotype" w:hAnsi="Palatino Linotype"/>
          <w:sz w:val="20"/>
          <w:szCs w:val="20"/>
        </w:rPr>
      </w:pPr>
    </w:p>
    <w:p w14:paraId="652FD377" w14:textId="700E2305" w:rsidR="004931BC" w:rsidRPr="00803F50" w:rsidRDefault="0085091F" w:rsidP="006127CA">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6127CA">
      <w:pPr>
        <w:spacing w:line="360" w:lineRule="auto"/>
        <w:jc w:val="both"/>
        <w:rPr>
          <w:rFonts w:ascii="Palatino Linotype" w:hAnsi="Palatino Linotype"/>
          <w:sz w:val="20"/>
          <w:szCs w:val="20"/>
        </w:rPr>
      </w:pPr>
    </w:p>
    <w:p w14:paraId="19E502D1" w14:textId="248BA51A" w:rsidR="0059746D" w:rsidRPr="00803F50" w:rsidRDefault="009859DB" w:rsidP="006127CA">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6127CA">
      <w:pPr>
        <w:spacing w:line="360" w:lineRule="auto"/>
        <w:jc w:val="both"/>
        <w:rPr>
          <w:rFonts w:ascii="Palatino Linotype" w:hAnsi="Palatino Linotype"/>
          <w:sz w:val="20"/>
          <w:szCs w:val="20"/>
        </w:rPr>
      </w:pPr>
    </w:p>
    <w:p w14:paraId="1557E86E" w14:textId="4F10558B" w:rsidR="007C3305" w:rsidRDefault="007C3305" w:rsidP="006127CA">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6127CA">
      <w:pPr>
        <w:spacing w:line="360" w:lineRule="auto"/>
        <w:jc w:val="both"/>
        <w:rPr>
          <w:rFonts w:ascii="Palatino Linotype" w:hAnsi="Palatino Linotype"/>
          <w:sz w:val="20"/>
          <w:szCs w:val="20"/>
        </w:rPr>
      </w:pPr>
    </w:p>
    <w:p w14:paraId="40AE8F09" w14:textId="1A02B405" w:rsidR="007C3305" w:rsidRPr="007C3305" w:rsidRDefault="009859DB" w:rsidP="006127CA">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6127CA">
      <w:pPr>
        <w:spacing w:line="360" w:lineRule="auto"/>
        <w:jc w:val="both"/>
        <w:rPr>
          <w:rFonts w:ascii="Palatino Linotype" w:hAnsi="Palatino Linotype"/>
          <w:sz w:val="20"/>
          <w:szCs w:val="20"/>
        </w:rPr>
      </w:pPr>
    </w:p>
    <w:p w14:paraId="638AEA7F" w14:textId="60E9EEE1" w:rsidR="007C3305" w:rsidRDefault="00C514D3" w:rsidP="006127CA">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6127CA">
      <w:pPr>
        <w:spacing w:line="360" w:lineRule="auto"/>
        <w:jc w:val="both"/>
        <w:rPr>
          <w:rFonts w:ascii="Palatino Linotype" w:hAnsi="Palatino Linotype"/>
          <w:sz w:val="20"/>
          <w:szCs w:val="20"/>
        </w:rPr>
      </w:pPr>
    </w:p>
    <w:p w14:paraId="1006A001" w14:textId="6FDD8211" w:rsidR="00C514D3" w:rsidRPr="007E2686" w:rsidRDefault="009859DB" w:rsidP="006127C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6127CA">
      <w:pPr>
        <w:spacing w:line="360" w:lineRule="auto"/>
        <w:jc w:val="both"/>
        <w:rPr>
          <w:rFonts w:ascii="Palatino Linotype" w:hAnsi="Palatino Linotype"/>
          <w:sz w:val="20"/>
          <w:szCs w:val="20"/>
        </w:rPr>
      </w:pPr>
    </w:p>
    <w:p w14:paraId="41C3298A" w14:textId="41CC001C" w:rsidR="004E75FB" w:rsidRPr="00803F50" w:rsidRDefault="004E75FB" w:rsidP="006127CA">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w:t>
      </w:r>
      <w:proofErr w:type="spellStart"/>
      <w:r w:rsidR="00F540AE">
        <w:rPr>
          <w:rFonts w:ascii="Palatino Linotype" w:hAnsi="Palatino Linotype"/>
          <w:sz w:val="20"/>
          <w:szCs w:val="20"/>
        </w:rPr>
        <w:t>Anonov</w:t>
      </w:r>
      <w:proofErr w:type="spellEnd"/>
      <w:r w:rsidR="00F540AE">
        <w:rPr>
          <w:rFonts w:ascii="Palatino Linotype" w:hAnsi="Palatino Linotype"/>
          <w:sz w:val="20"/>
          <w:szCs w:val="20"/>
        </w:rPr>
        <w:t xml:space="preserve">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w:t>
      </w:r>
      <w:proofErr w:type="spellStart"/>
      <w:r w:rsidR="003D10FC">
        <w:rPr>
          <w:rFonts w:ascii="Palatino Linotype" w:hAnsi="Palatino Linotype"/>
          <w:sz w:val="20"/>
          <w:szCs w:val="20"/>
        </w:rPr>
        <w:t>Piterbarg</w:t>
      </w:r>
      <w:proofErr w:type="spellEnd"/>
      <w:r w:rsidR="003D10FC">
        <w:rPr>
          <w:rFonts w:ascii="Palatino Linotype" w:hAnsi="Palatino Linotype"/>
          <w:sz w:val="20"/>
          <w:szCs w:val="20"/>
        </w:rPr>
        <w:t xml:space="preserve"> [2003]. </w:t>
      </w:r>
    </w:p>
    <w:p w14:paraId="205EB254" w14:textId="77777777" w:rsidR="009A1D91" w:rsidRPr="00803F50" w:rsidRDefault="009A1D91" w:rsidP="006127CA">
      <w:pPr>
        <w:pStyle w:val="BodyText"/>
        <w:spacing w:line="360" w:lineRule="auto"/>
        <w:rPr>
          <w:rFonts w:ascii="Palatino Linotype" w:hAnsi="Palatino Linotype"/>
          <w:sz w:val="20"/>
          <w:szCs w:val="20"/>
        </w:rPr>
      </w:pPr>
    </w:p>
    <w:p w14:paraId="6BEC11F6" w14:textId="52786C19" w:rsidR="001E74C3" w:rsidRPr="00803F50" w:rsidRDefault="00566BEB" w:rsidP="006127C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lastRenderedPageBreak/>
        <w:t>ANALYSIS AND COMPARISON</w:t>
      </w:r>
    </w:p>
    <w:p w14:paraId="23B1D17B" w14:textId="54F8B5F4" w:rsidR="00566BEB" w:rsidRDefault="00566BEB" w:rsidP="006127CA">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w:t>
      </w:r>
      <w:r w:rsidR="006649AD">
        <w:rPr>
          <w:rFonts w:ascii="Palatino Linotype" w:hAnsi="Palatino Linotype"/>
        </w:rPr>
        <w:t>Methodology</w:t>
      </w:r>
    </w:p>
    <w:p w14:paraId="1C11E931" w14:textId="75841120" w:rsidR="00180441" w:rsidRDefault="00180441" w:rsidP="006127CA">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w:t>
      </w:r>
      <w:r w:rsidR="00892E25">
        <w:rPr>
          <w:rFonts w:ascii="Palatino Linotype" w:hAnsi="Palatino Linotype"/>
          <w:sz w:val="20"/>
          <w:szCs w:val="20"/>
        </w:rPr>
        <w:t>through</w:t>
      </w:r>
      <w:r>
        <w:rPr>
          <w:rFonts w:ascii="Palatino Linotype" w:hAnsi="Palatino Linotype"/>
          <w:sz w:val="20"/>
          <w:szCs w:val="20"/>
        </w:rPr>
        <w:t xml:space="preserve">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w:t>
      </w:r>
      <w:r w:rsidR="00B13CDD">
        <w:rPr>
          <w:rFonts w:ascii="Palatino Linotype" w:hAnsi="Palatino Linotype"/>
          <w:sz w:val="20"/>
          <w:szCs w:val="20"/>
        </w:rPr>
        <w:t>implied volatility</w:t>
      </w:r>
      <w:r w:rsidR="00107245">
        <w:rPr>
          <w:rFonts w:ascii="Palatino Linotype" w:hAnsi="Palatino Linotype"/>
          <w:sz w:val="20"/>
          <w:szCs w:val="20"/>
        </w:rPr>
        <w:t>.</w:t>
      </w:r>
      <w:r w:rsidR="000E6480">
        <w:rPr>
          <w:rFonts w:ascii="Palatino Linotype" w:hAnsi="Palatino Linotype"/>
          <w:sz w:val="20"/>
          <w:szCs w:val="20"/>
        </w:rPr>
        <w:t xml:space="preserve"> </w:t>
      </w:r>
      <w:r w:rsidR="00061084">
        <w:rPr>
          <w:rFonts w:ascii="Palatino Linotype" w:hAnsi="Palatino Linotype"/>
          <w:sz w:val="20"/>
          <w:szCs w:val="20"/>
        </w:rPr>
        <w:t>Analyzed</w:t>
      </w:r>
      <w:r w:rsidR="00E7256B">
        <w:rPr>
          <w:rFonts w:ascii="Palatino Linotype" w:hAnsi="Palatino Linotype"/>
          <w:sz w:val="20"/>
          <w:szCs w:val="20"/>
        </w:rPr>
        <w:t xml:space="preserve"> models</w:t>
      </w:r>
      <w:r w:rsidR="000E6480">
        <w:rPr>
          <w:rFonts w:ascii="Palatino Linotype" w:hAnsi="Palatino Linotype"/>
          <w:sz w:val="20"/>
          <w:szCs w:val="20"/>
        </w:rPr>
        <w:t xml:space="preserve"> </w:t>
      </w:r>
      <w:r w:rsidR="00E7256B">
        <w:rPr>
          <w:rFonts w:ascii="Palatino Linotype" w:hAnsi="Palatino Linotype"/>
          <w:sz w:val="20"/>
          <w:szCs w:val="20"/>
        </w:rPr>
        <w:t xml:space="preserve">are </w:t>
      </w:r>
      <w:r w:rsidR="000E6480">
        <w:rPr>
          <w:rFonts w:ascii="Palatino Linotype" w:hAnsi="Palatino Linotype"/>
          <w:sz w:val="20"/>
          <w:szCs w:val="20"/>
        </w:rPr>
        <w:t xml:space="preserve">the Heston, the classic and normal SABR, the Shifted SABR, The Free-Boundary SABR and the mixture SABR.  We shall be going </w:t>
      </w:r>
      <w:r w:rsidR="00DA3928">
        <w:rPr>
          <w:rFonts w:ascii="Palatino Linotype" w:hAnsi="Palatino Linotype"/>
          <w:sz w:val="20"/>
          <w:szCs w:val="20"/>
        </w:rPr>
        <w:t>through</w:t>
      </w:r>
      <w:r w:rsidR="000E6480">
        <w:rPr>
          <w:rFonts w:ascii="Palatino Linotype" w:hAnsi="Palatino Linotype"/>
          <w:sz w:val="20"/>
          <w:szCs w:val="20"/>
        </w:rPr>
        <w:t xml:space="preserve"> the analysis of each group independently and</w:t>
      </w:r>
      <w:r w:rsidR="00D91F63">
        <w:rPr>
          <w:rFonts w:ascii="Palatino Linotype" w:hAnsi="Palatino Linotype"/>
          <w:sz w:val="20"/>
          <w:szCs w:val="20"/>
        </w:rPr>
        <w:t xml:space="preserve"> at the end of the chapter</w:t>
      </w:r>
      <w:r w:rsidR="000E6480">
        <w:rPr>
          <w:rFonts w:ascii="Palatino Linotype" w:hAnsi="Palatino Linotype"/>
          <w:sz w:val="20"/>
          <w:szCs w:val="20"/>
        </w:rPr>
        <w:t xml:space="preserve"> </w:t>
      </w:r>
      <w:r w:rsidR="00D91F63">
        <w:rPr>
          <w:rFonts w:ascii="Palatino Linotype" w:hAnsi="Palatino Linotype"/>
          <w:sz w:val="20"/>
          <w:szCs w:val="20"/>
        </w:rPr>
        <w:t xml:space="preserve">we </w:t>
      </w:r>
      <w:r w:rsidR="00546D69">
        <w:rPr>
          <w:rFonts w:ascii="Palatino Linotype" w:hAnsi="Palatino Linotype"/>
          <w:sz w:val="20"/>
          <w:szCs w:val="20"/>
        </w:rPr>
        <w:t>shall</w:t>
      </w:r>
      <w:r w:rsidR="000E6480">
        <w:rPr>
          <w:rFonts w:ascii="Palatino Linotype" w:hAnsi="Palatino Linotype"/>
          <w:sz w:val="20"/>
          <w:szCs w:val="20"/>
        </w:rPr>
        <w:t xml:space="preserve"> compare </w:t>
      </w:r>
      <w:r w:rsidR="007D12F6">
        <w:rPr>
          <w:rFonts w:ascii="Palatino Linotype" w:hAnsi="Palatino Linotype"/>
          <w:sz w:val="20"/>
          <w:szCs w:val="20"/>
        </w:rPr>
        <w:t>models together to discuss which works best in explaining market implied volatility</w:t>
      </w:r>
      <w:r w:rsidR="000E6480">
        <w:rPr>
          <w:rFonts w:ascii="Palatino Linotype" w:hAnsi="Palatino Linotype"/>
          <w:sz w:val="20"/>
          <w:szCs w:val="20"/>
        </w:rPr>
        <w:t>.</w:t>
      </w:r>
    </w:p>
    <w:p w14:paraId="4A237879" w14:textId="4A909AC9" w:rsidR="00C7666B" w:rsidRPr="00277011" w:rsidRDefault="00277011" w:rsidP="006127CA">
      <w:pPr>
        <w:spacing w:line="360" w:lineRule="auto"/>
        <w:jc w:val="both"/>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58240" behindDoc="1" locked="0" layoutInCell="1" allowOverlap="1" wp14:anchorId="3755E316" wp14:editId="30948525">
            <wp:simplePos x="0" y="0"/>
            <wp:positionH relativeFrom="margin">
              <wp:align>left</wp:align>
            </wp:positionH>
            <wp:positionV relativeFrom="page">
              <wp:posOffset>3027536</wp:posOffset>
            </wp:positionV>
            <wp:extent cx="4433570" cy="217233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570" cy="2172335"/>
                    </a:xfrm>
                    <a:prstGeom prst="rect">
                      <a:avLst/>
                    </a:prstGeom>
                    <a:noFill/>
                    <a:ln>
                      <a:noFill/>
                    </a:ln>
                  </pic:spPr>
                </pic:pic>
              </a:graphicData>
            </a:graphic>
          </wp:anchor>
        </w:drawing>
      </w:r>
      <w:r w:rsidR="00107245">
        <w:rPr>
          <w:rFonts w:ascii="Palatino Linotype" w:hAnsi="Palatino Linotype"/>
          <w:sz w:val="20"/>
          <w:szCs w:val="20"/>
        </w:rPr>
        <w:t xml:space="preserve">Spot rates used for the discounting and forwarding of the models are </w:t>
      </w:r>
      <w:r w:rsidR="00D371DD">
        <w:rPr>
          <w:rFonts w:ascii="Palatino Linotype" w:hAnsi="Palatino Linotype"/>
          <w:sz w:val="20"/>
          <w:szCs w:val="20"/>
        </w:rPr>
        <w:t xml:space="preserve">the US yield term structures recorded on the </w:t>
      </w:r>
      <w:r w:rsidR="00A13225">
        <w:rPr>
          <w:rFonts w:ascii="Palatino Linotype" w:hAnsi="Palatino Linotype"/>
          <w:sz w:val="20"/>
          <w:szCs w:val="20"/>
        </w:rPr>
        <w:t>3</w:t>
      </w:r>
      <w:r w:rsidR="00D371DD">
        <w:rPr>
          <w:rFonts w:ascii="Palatino Linotype" w:hAnsi="Palatino Linotype"/>
          <w:sz w:val="20"/>
          <w:szCs w:val="20"/>
        </w:rPr>
        <w:t>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w:t>
      </w:r>
      <w:r w:rsidR="00C93262">
        <w:rPr>
          <w:rFonts w:ascii="Palatino Linotype" w:hAnsi="Palatino Linotype"/>
          <w:sz w:val="20"/>
          <w:szCs w:val="20"/>
        </w:rPr>
        <w:t xml:space="preserve"> the</w:t>
      </w:r>
      <w:r w:rsidR="00D371DD">
        <w:rPr>
          <w:rFonts w:ascii="Palatino Linotype" w:hAnsi="Palatino Linotype"/>
          <w:sz w:val="20"/>
          <w:szCs w:val="20"/>
        </w:rPr>
        <w:t xml:space="preserve"> United States. The full term structure can be seen below:</w:t>
      </w:r>
      <w:r w:rsidR="00107245">
        <w:rPr>
          <w:rFonts w:ascii="Palatino Linotype" w:hAnsi="Palatino Linotype"/>
          <w:sz w:val="20"/>
          <w:szCs w:val="20"/>
        </w:rPr>
        <w:t xml:space="preserve"> </w:t>
      </w:r>
    </w:p>
    <w:p w14:paraId="634CB052" w14:textId="5BBCC9B2" w:rsidR="0097330F" w:rsidRDefault="0097330F" w:rsidP="006127CA">
      <w:pPr>
        <w:spacing w:line="360" w:lineRule="auto"/>
        <w:jc w:val="both"/>
      </w:pPr>
      <w:r>
        <w:rPr>
          <w:noProof/>
        </w:rPr>
        <w:drawing>
          <wp:inline distT="0" distB="0" distL="0" distR="0" wp14:anchorId="0394AF8A" wp14:editId="4F99DA4E">
            <wp:extent cx="7025469" cy="3536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400" cy="388416"/>
                    </a:xfrm>
                    <a:prstGeom prst="rect">
                      <a:avLst/>
                    </a:prstGeom>
                    <a:noFill/>
                    <a:ln>
                      <a:noFill/>
                    </a:ln>
                  </pic:spPr>
                </pic:pic>
              </a:graphicData>
            </a:graphic>
          </wp:inline>
        </w:drawing>
      </w:r>
    </w:p>
    <w:p w14:paraId="74929876" w14:textId="77777777" w:rsidR="00B7571E" w:rsidRDefault="00B7571E" w:rsidP="006127CA">
      <w:pPr>
        <w:spacing w:line="360" w:lineRule="auto"/>
        <w:jc w:val="both"/>
      </w:pPr>
    </w:p>
    <w:p w14:paraId="0346C331" w14:textId="3079DAD0" w:rsidR="007761D3" w:rsidRPr="007761D3" w:rsidRDefault="00277011" w:rsidP="006127CA">
      <w:pPr>
        <w:spacing w:line="360" w:lineRule="auto"/>
        <w:jc w:val="both"/>
        <w:rPr>
          <w:rFonts w:ascii="Palatino Linotype" w:hAnsi="Palatino Linotype"/>
          <w:sz w:val="20"/>
          <w:szCs w:val="20"/>
        </w:rPr>
      </w:pPr>
      <w:r>
        <w:rPr>
          <w:rFonts w:ascii="Palatino Linotype" w:hAnsi="Palatino Linotype"/>
          <w:sz w:val="20"/>
          <w:szCs w:val="20"/>
        </w:rPr>
        <w:t>Call options chains d</w:t>
      </w:r>
      <w:r w:rsidR="0093563A" w:rsidRPr="0093563A">
        <w:rPr>
          <w:rFonts w:ascii="Palatino Linotype" w:hAnsi="Palatino Linotype"/>
          <w:sz w:val="20"/>
          <w:szCs w:val="20"/>
        </w:rPr>
        <w:t xml:space="preserve">ata </w:t>
      </w:r>
      <w:r w:rsidR="0093563A">
        <w:rPr>
          <w:rFonts w:ascii="Palatino Linotype" w:hAnsi="Palatino Linotype"/>
          <w:sz w:val="20"/>
          <w:szCs w:val="20"/>
        </w:rPr>
        <w:t xml:space="preserve">has been collected from barchart.com on the </w:t>
      </w:r>
      <w:r w:rsidR="007761D3">
        <w:rPr>
          <w:rFonts w:ascii="Palatino Linotype" w:hAnsi="Palatino Linotype"/>
          <w:sz w:val="20"/>
          <w:szCs w:val="20"/>
        </w:rPr>
        <w:t>30</w:t>
      </w:r>
      <w:r w:rsidR="007761D3" w:rsidRPr="007761D3">
        <w:rPr>
          <w:rFonts w:ascii="Palatino Linotype" w:hAnsi="Palatino Linotype"/>
          <w:sz w:val="20"/>
          <w:szCs w:val="20"/>
          <w:vertAlign w:val="superscript"/>
        </w:rPr>
        <w:t>th</w:t>
      </w:r>
      <w:r w:rsidR="007761D3">
        <w:rPr>
          <w:rFonts w:ascii="Palatino Linotype" w:hAnsi="Palatino Linotype"/>
          <w:sz w:val="20"/>
          <w:szCs w:val="20"/>
        </w:rPr>
        <w:t xml:space="preserve"> of August </w:t>
      </w:r>
      <w:r w:rsidR="0093563A">
        <w:rPr>
          <w:rFonts w:ascii="Palatino Linotype" w:hAnsi="Palatino Linotype"/>
          <w:sz w:val="20"/>
          <w:szCs w:val="20"/>
        </w:rPr>
        <w:t xml:space="preserve">2021 </w:t>
      </w:r>
      <w:r>
        <w:rPr>
          <w:rFonts w:ascii="Palatino Linotype" w:hAnsi="Palatino Linotype"/>
          <w:sz w:val="20"/>
          <w:szCs w:val="20"/>
        </w:rPr>
        <w:t xml:space="preserve">on Gold, </w:t>
      </w:r>
      <w:r w:rsidR="00EF01C9">
        <w:rPr>
          <w:rFonts w:ascii="Palatino Linotype" w:hAnsi="Palatino Linotype"/>
          <w:sz w:val="20"/>
          <w:szCs w:val="20"/>
        </w:rPr>
        <w:t>Silver</w:t>
      </w:r>
      <w:r>
        <w:rPr>
          <w:rFonts w:ascii="Palatino Linotype" w:hAnsi="Palatino Linotype"/>
          <w:sz w:val="20"/>
          <w:szCs w:val="20"/>
        </w:rPr>
        <w:t xml:space="preserve"> and Coffee</w:t>
      </w:r>
      <w:r w:rsidR="007761D3">
        <w:rPr>
          <w:rFonts w:ascii="Palatino Linotype" w:hAnsi="Palatino Linotype"/>
          <w:sz w:val="20"/>
          <w:szCs w:val="20"/>
        </w:rPr>
        <w:t xml:space="preserve">. </w:t>
      </w:r>
      <w:r>
        <w:rPr>
          <w:rFonts w:ascii="Palatino Linotype" w:hAnsi="Palatino Linotype"/>
          <w:sz w:val="20"/>
          <w:szCs w:val="20"/>
        </w:rPr>
        <w:t xml:space="preserve">Data consists of options on 17 different strike prices and 12 tenors for a total of 204 options on </w:t>
      </w:r>
      <w:r w:rsidR="00EF01C9">
        <w:rPr>
          <w:rFonts w:ascii="Palatino Linotype" w:hAnsi="Palatino Linotype"/>
          <w:sz w:val="20"/>
          <w:szCs w:val="20"/>
        </w:rPr>
        <w:t>G</w:t>
      </w:r>
      <w:r>
        <w:rPr>
          <w:rFonts w:ascii="Palatino Linotype" w:hAnsi="Palatino Linotype"/>
          <w:sz w:val="20"/>
          <w:szCs w:val="20"/>
        </w:rPr>
        <w:t>old, 1</w:t>
      </w:r>
      <w:r w:rsidR="00020D73">
        <w:rPr>
          <w:rFonts w:ascii="Palatino Linotype" w:hAnsi="Palatino Linotype"/>
          <w:sz w:val="20"/>
          <w:szCs w:val="20"/>
        </w:rPr>
        <w:t>8</w:t>
      </w:r>
      <w:r>
        <w:rPr>
          <w:rFonts w:ascii="Palatino Linotype" w:hAnsi="Palatino Linotype"/>
          <w:sz w:val="20"/>
          <w:szCs w:val="20"/>
        </w:rPr>
        <w:t xml:space="preserve"> strikes and </w:t>
      </w:r>
      <w:r w:rsidR="00020D73">
        <w:rPr>
          <w:rFonts w:ascii="Palatino Linotype" w:hAnsi="Palatino Linotype"/>
          <w:sz w:val="20"/>
          <w:szCs w:val="20"/>
        </w:rPr>
        <w:t xml:space="preserve">10 </w:t>
      </w:r>
      <w:r>
        <w:rPr>
          <w:rFonts w:ascii="Palatino Linotype" w:hAnsi="Palatino Linotype"/>
          <w:sz w:val="20"/>
          <w:szCs w:val="20"/>
        </w:rPr>
        <w:t>tenors for a total of 18</w:t>
      </w:r>
      <w:r w:rsidR="00020D73">
        <w:rPr>
          <w:rFonts w:ascii="Palatino Linotype" w:hAnsi="Palatino Linotype"/>
          <w:sz w:val="20"/>
          <w:szCs w:val="20"/>
        </w:rPr>
        <w:t>0</w:t>
      </w:r>
      <w:r>
        <w:rPr>
          <w:rFonts w:ascii="Palatino Linotype" w:hAnsi="Palatino Linotype"/>
          <w:sz w:val="20"/>
          <w:szCs w:val="20"/>
        </w:rPr>
        <w:t xml:space="preserve"> options on </w:t>
      </w:r>
      <w:r w:rsidR="00020D73">
        <w:rPr>
          <w:rFonts w:ascii="Palatino Linotype" w:hAnsi="Palatino Linotype"/>
          <w:sz w:val="20"/>
          <w:szCs w:val="20"/>
        </w:rPr>
        <w:t>Silver</w:t>
      </w:r>
      <w:r>
        <w:rPr>
          <w:rFonts w:ascii="Palatino Linotype" w:hAnsi="Palatino Linotype"/>
          <w:sz w:val="20"/>
          <w:szCs w:val="20"/>
        </w:rPr>
        <w:t>, and finally 20 strikes, 7 tenors for options on Coffee for a total of 140</w:t>
      </w:r>
      <w:r w:rsidR="006D5975">
        <w:rPr>
          <w:rFonts w:ascii="Palatino Linotype" w:hAnsi="Palatino Linotype"/>
          <w:sz w:val="20"/>
          <w:szCs w:val="20"/>
        </w:rPr>
        <w:t xml:space="preserve">. The full </w:t>
      </w:r>
      <w:r>
        <w:rPr>
          <w:rFonts w:ascii="Palatino Linotype" w:hAnsi="Palatino Linotype"/>
          <w:sz w:val="20"/>
          <w:szCs w:val="20"/>
        </w:rPr>
        <w:t>option chain data for the commodities options</w:t>
      </w:r>
      <w:r w:rsidR="00B252BA">
        <w:rPr>
          <w:rFonts w:ascii="Palatino Linotype" w:hAnsi="Palatino Linotype"/>
          <w:sz w:val="20"/>
          <w:szCs w:val="20"/>
        </w:rPr>
        <w:t>,</w:t>
      </w:r>
      <w:r w:rsidR="006D5975">
        <w:rPr>
          <w:rFonts w:ascii="Palatino Linotype" w:hAnsi="Palatino Linotype"/>
          <w:sz w:val="20"/>
          <w:szCs w:val="20"/>
        </w:rPr>
        <w:t xml:space="preserve"> </w:t>
      </w:r>
      <w:r w:rsidR="00C9199F">
        <w:rPr>
          <w:rFonts w:ascii="Palatino Linotype" w:hAnsi="Palatino Linotype"/>
          <w:sz w:val="20"/>
          <w:szCs w:val="20"/>
        </w:rPr>
        <w:t>along</w:t>
      </w:r>
      <w:r w:rsidR="006D5975">
        <w:rPr>
          <w:rFonts w:ascii="Palatino Linotype" w:hAnsi="Palatino Linotype"/>
          <w:sz w:val="20"/>
          <w:szCs w:val="20"/>
        </w:rPr>
        <w:t xml:space="preserve"> </w:t>
      </w:r>
      <w:r w:rsidR="00B252BA">
        <w:rPr>
          <w:rFonts w:ascii="Palatino Linotype" w:hAnsi="Palatino Linotype"/>
          <w:sz w:val="20"/>
          <w:szCs w:val="20"/>
        </w:rPr>
        <w:t xml:space="preserve">with </w:t>
      </w:r>
      <w:r w:rsidR="006D5975">
        <w:rPr>
          <w:rFonts w:ascii="Palatino Linotype" w:hAnsi="Palatino Linotype"/>
          <w:sz w:val="20"/>
          <w:szCs w:val="20"/>
        </w:rPr>
        <w:t>market volatility</w:t>
      </w:r>
      <w:r w:rsidR="00B252BA">
        <w:rPr>
          <w:rFonts w:ascii="Palatino Linotype" w:hAnsi="Palatino Linotype"/>
          <w:sz w:val="20"/>
          <w:szCs w:val="20"/>
        </w:rPr>
        <w:t xml:space="preserve"> rounded </w:t>
      </w:r>
      <w:r w:rsidR="00B252BA" w:rsidRPr="007761D3">
        <w:rPr>
          <w:rFonts w:ascii="Palatino Linotype" w:hAnsi="Palatino Linotype"/>
          <w:sz w:val="20"/>
          <w:szCs w:val="20"/>
        </w:rPr>
        <w:t xml:space="preserve">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00B252BA">
        <w:rPr>
          <w:rFonts w:ascii="Palatino Linotype" w:hAnsi="Palatino Linotype"/>
          <w:sz w:val="20"/>
          <w:szCs w:val="20"/>
        </w:rPr>
        <w:t xml:space="preserve"> </w:t>
      </w:r>
      <w:r w:rsidR="006D5975">
        <w:rPr>
          <w:rFonts w:ascii="Palatino Linotype" w:hAnsi="Palatino Linotype"/>
          <w:sz w:val="20"/>
          <w:szCs w:val="20"/>
        </w:rPr>
        <w:t>is shown in the Appendix.</w:t>
      </w:r>
    </w:p>
    <w:p w14:paraId="14BE19CF" w14:textId="18F9071B" w:rsidR="004132EB" w:rsidRPr="007761D3" w:rsidRDefault="0001362B" w:rsidP="006127CA">
      <w:pPr>
        <w:spacing w:line="360" w:lineRule="auto"/>
        <w:jc w:val="both"/>
        <w:rPr>
          <w:rFonts w:ascii="Palatino Linotype" w:hAnsi="Palatino Linotype"/>
          <w:sz w:val="20"/>
          <w:szCs w:val="20"/>
        </w:rPr>
      </w:pPr>
      <w:r w:rsidRPr="007761D3">
        <w:rPr>
          <w:rFonts w:ascii="Palatino Linotype" w:hAnsi="Palatino Linotype"/>
          <w:sz w:val="20"/>
          <w:szCs w:val="20"/>
        </w:rPr>
        <w:t xml:space="preserve">Moreover, </w:t>
      </w:r>
      <w:r w:rsidR="009F00D3">
        <w:rPr>
          <w:rFonts w:ascii="Palatino Linotype" w:hAnsi="Palatino Linotype"/>
          <w:sz w:val="20"/>
          <w:szCs w:val="20"/>
        </w:rPr>
        <w:t xml:space="preserve">upon collection, </w:t>
      </w:r>
      <w:r w:rsidRPr="007761D3">
        <w:rPr>
          <w:rFonts w:ascii="Palatino Linotype" w:hAnsi="Palatino Linotype"/>
          <w:sz w:val="20"/>
          <w:szCs w:val="20"/>
        </w:rPr>
        <w:t xml:space="preserve">data was checked for stability in the following days and assessed with stated ATM </w:t>
      </w:r>
      <w:r w:rsidR="008C2CF3">
        <w:rPr>
          <w:rFonts w:ascii="Palatino Linotype" w:hAnsi="Palatino Linotype"/>
          <w:sz w:val="20"/>
          <w:szCs w:val="20"/>
        </w:rPr>
        <w:t>prices</w:t>
      </w:r>
      <w:r w:rsidR="00010200" w:rsidRPr="007761D3">
        <w:rPr>
          <w:rFonts w:ascii="Palatino Linotype" w:hAnsi="Palatino Linotype"/>
          <w:sz w:val="20"/>
          <w:szCs w:val="20"/>
        </w:rPr>
        <w:t xml:space="preserve">. </w:t>
      </w:r>
      <w:r w:rsidR="007F294D">
        <w:rPr>
          <w:rFonts w:ascii="Palatino Linotype" w:hAnsi="Palatino Linotype"/>
          <w:sz w:val="20"/>
          <w:szCs w:val="20"/>
        </w:rPr>
        <w:t>The</w:t>
      </w:r>
      <w:r w:rsidR="004145CB">
        <w:rPr>
          <w:rFonts w:ascii="Palatino Linotype" w:hAnsi="Palatino Linotype"/>
          <w:sz w:val="20"/>
          <w:szCs w:val="20"/>
        </w:rPr>
        <w:t xml:space="preserve"> full</w:t>
      </w:r>
      <w:r w:rsidR="00010200" w:rsidRPr="007761D3">
        <w:rPr>
          <w:rFonts w:ascii="Palatino Linotype" w:hAnsi="Palatino Linotype"/>
          <w:sz w:val="20"/>
          <w:szCs w:val="20"/>
        </w:rPr>
        <w:t xml:space="preserve"> dataset comprehends a </w:t>
      </w:r>
      <w:r w:rsidR="00236A2F">
        <w:rPr>
          <w:rFonts w:ascii="Palatino Linotype" w:hAnsi="Palatino Linotype"/>
          <w:sz w:val="20"/>
          <w:szCs w:val="20"/>
        </w:rPr>
        <w:t>wider</w:t>
      </w:r>
      <w:r w:rsidR="00010200" w:rsidRPr="007761D3">
        <w:rPr>
          <w:rFonts w:ascii="Palatino Linotype" w:hAnsi="Palatino Linotype"/>
          <w:sz w:val="20"/>
          <w:szCs w:val="20"/>
        </w:rPr>
        <w:t xml:space="preserve"> range of strike prices</w:t>
      </w:r>
      <w:r w:rsidR="003D5698">
        <w:rPr>
          <w:rFonts w:ascii="Palatino Linotype" w:hAnsi="Palatino Linotype"/>
          <w:sz w:val="20"/>
          <w:szCs w:val="20"/>
        </w:rPr>
        <w:t>, but f</w:t>
      </w:r>
      <w:r w:rsidR="00010200" w:rsidRPr="007761D3">
        <w:rPr>
          <w:rFonts w:ascii="Palatino Linotype" w:hAnsi="Palatino Linotype"/>
          <w:sz w:val="20"/>
          <w:szCs w:val="20"/>
        </w:rPr>
        <w:t>or the purpose of graphs and ease of calibration</w:t>
      </w:r>
      <w:r w:rsidR="004145CB">
        <w:rPr>
          <w:rFonts w:ascii="Palatino Linotype" w:hAnsi="Palatino Linotype"/>
          <w:sz w:val="20"/>
          <w:szCs w:val="20"/>
        </w:rPr>
        <w:t xml:space="preserve"> (mainly </w:t>
      </w:r>
      <w:r w:rsidR="007F294D">
        <w:rPr>
          <w:rFonts w:ascii="Palatino Linotype" w:hAnsi="Palatino Linotype"/>
          <w:sz w:val="20"/>
          <w:szCs w:val="20"/>
        </w:rPr>
        <w:t xml:space="preserve">so to have valid inputs for </w:t>
      </w:r>
      <w:r w:rsidR="00A03722">
        <w:rPr>
          <w:rFonts w:ascii="Palatino Linotype" w:hAnsi="Palatino Linotype"/>
          <w:sz w:val="20"/>
          <w:szCs w:val="20"/>
        </w:rPr>
        <w:t>calculations</w:t>
      </w:r>
      <w:r w:rsidR="007F294D">
        <w:rPr>
          <w:rFonts w:ascii="Palatino Linotype" w:hAnsi="Palatino Linotype"/>
          <w:sz w:val="20"/>
          <w:szCs w:val="20"/>
        </w:rPr>
        <w:t xml:space="preserve"> on</w:t>
      </w:r>
      <w:r w:rsidR="004145CB">
        <w:rPr>
          <w:rFonts w:ascii="Palatino Linotype" w:hAnsi="Palatino Linotype"/>
          <w:sz w:val="20"/>
          <w:szCs w:val="20"/>
        </w:rPr>
        <w:t xml:space="preserve"> </w:t>
      </w:r>
      <m:oMath>
        <m:r>
          <w:rPr>
            <w:rFonts w:ascii="Cambria Math" w:hAnsi="Cambria Math"/>
            <w:sz w:val="20"/>
            <w:szCs w:val="20"/>
          </w:rPr>
          <m:t>QuanLib</m:t>
        </m:r>
      </m:oMath>
      <w:r w:rsidR="004145CB">
        <w:rPr>
          <w:rFonts w:ascii="Palatino Linotype" w:hAnsi="Palatino Linotype"/>
          <w:sz w:val="20"/>
          <w:szCs w:val="20"/>
        </w:rPr>
        <w:t>)</w:t>
      </w:r>
      <w:r w:rsidR="00010200" w:rsidRPr="007761D3">
        <w:rPr>
          <w:rFonts w:ascii="Palatino Linotype" w:hAnsi="Palatino Linotype"/>
          <w:sz w:val="20"/>
          <w:szCs w:val="20"/>
        </w:rPr>
        <w:t xml:space="preserve"> only optio</w:t>
      </w:r>
      <w:r w:rsidR="007D5B2C">
        <w:rPr>
          <w:rFonts w:ascii="Palatino Linotype" w:hAnsi="Palatino Linotype"/>
          <w:sz w:val="20"/>
          <w:szCs w:val="20"/>
        </w:rPr>
        <w:t>ns on strikes with market volatility data</w:t>
      </w:r>
      <w:r w:rsidR="00010200" w:rsidRPr="007761D3">
        <w:rPr>
          <w:rFonts w:ascii="Palatino Linotype" w:hAnsi="Palatino Linotype"/>
          <w:sz w:val="20"/>
          <w:szCs w:val="20"/>
        </w:rPr>
        <w:t xml:space="preserve"> </w:t>
      </w:r>
      <w:r w:rsidR="00236A2F">
        <w:rPr>
          <w:rFonts w:ascii="Palatino Linotype" w:hAnsi="Palatino Linotype"/>
          <w:sz w:val="20"/>
          <w:szCs w:val="20"/>
        </w:rPr>
        <w:t xml:space="preserve">available </w:t>
      </w:r>
      <w:r w:rsidR="007D5B2C">
        <w:rPr>
          <w:rFonts w:ascii="Palatino Linotype" w:hAnsi="Palatino Linotype"/>
          <w:sz w:val="20"/>
          <w:szCs w:val="20"/>
        </w:rPr>
        <w:t xml:space="preserve">on each tenor </w:t>
      </w:r>
      <w:r w:rsidR="00010200" w:rsidRPr="007761D3">
        <w:rPr>
          <w:rFonts w:ascii="Palatino Linotype" w:hAnsi="Palatino Linotype"/>
          <w:sz w:val="20"/>
          <w:szCs w:val="20"/>
        </w:rPr>
        <w:t xml:space="preserve">were </w:t>
      </w:r>
      <w:r w:rsidR="00EB594A" w:rsidRPr="007761D3">
        <w:rPr>
          <w:rFonts w:ascii="Palatino Linotype" w:hAnsi="Palatino Linotype"/>
          <w:sz w:val="20"/>
          <w:szCs w:val="20"/>
        </w:rPr>
        <w:t>selected.</w:t>
      </w:r>
      <w:r w:rsidRPr="007761D3">
        <w:rPr>
          <w:rFonts w:ascii="Palatino Linotype" w:hAnsi="Palatino Linotype"/>
          <w:sz w:val="20"/>
          <w:szCs w:val="20"/>
        </w:rPr>
        <w:t xml:space="preserve"> </w:t>
      </w:r>
    </w:p>
    <w:p w14:paraId="66B8941E" w14:textId="54898810" w:rsidR="003B2088" w:rsidRDefault="00B15FBD" w:rsidP="006127CA">
      <w:pPr>
        <w:spacing w:line="360" w:lineRule="auto"/>
        <w:jc w:val="both"/>
        <w:rPr>
          <w:rFonts w:ascii="Palatino Linotype" w:hAnsi="Palatino Linotype"/>
          <w:sz w:val="20"/>
          <w:szCs w:val="20"/>
        </w:rPr>
      </w:pPr>
      <w:r>
        <w:rPr>
          <w:rFonts w:ascii="Palatino Linotype" w:hAnsi="Palatino Linotype"/>
          <w:sz w:val="20"/>
          <w:szCs w:val="20"/>
        </w:rPr>
        <w:t>All models have been calibrated using Python and QuantLib</w:t>
      </w:r>
      <w:r w:rsidR="00A048A9">
        <w:rPr>
          <w:rFonts w:ascii="Palatino Linotype" w:hAnsi="Palatino Linotype"/>
          <w:sz w:val="20"/>
          <w:szCs w:val="20"/>
        </w:rPr>
        <w:t xml:space="preserve">, a library used </w:t>
      </w:r>
      <w:r>
        <w:rPr>
          <w:rFonts w:ascii="Palatino Linotype" w:hAnsi="Palatino Linotype"/>
          <w:sz w:val="20"/>
          <w:szCs w:val="20"/>
        </w:rPr>
        <w:t xml:space="preserve">for quantitative </w:t>
      </w:r>
      <w:r w:rsidR="00A048A9">
        <w:rPr>
          <w:rFonts w:ascii="Palatino Linotype" w:hAnsi="Palatino Linotype"/>
          <w:sz w:val="20"/>
          <w:szCs w:val="20"/>
        </w:rPr>
        <w:t>financial modelling</w:t>
      </w:r>
      <w:r>
        <w:rPr>
          <w:rFonts w:ascii="Palatino Linotype" w:hAnsi="Palatino Linotype"/>
          <w:sz w:val="20"/>
          <w:szCs w:val="20"/>
        </w:rPr>
        <w:t xml:space="preserve">. </w:t>
      </w:r>
      <w:r w:rsidR="00396D2C">
        <w:rPr>
          <w:rFonts w:ascii="Palatino Linotype" w:hAnsi="Palatino Linotype"/>
          <w:sz w:val="20"/>
          <w:szCs w:val="20"/>
        </w:rPr>
        <w:t xml:space="preserve">The full notebook can be </w:t>
      </w:r>
      <w:r w:rsidR="00A048A9">
        <w:rPr>
          <w:rFonts w:ascii="Palatino Linotype" w:hAnsi="Palatino Linotype"/>
          <w:sz w:val="20"/>
          <w:szCs w:val="20"/>
        </w:rPr>
        <w:t>viewed</w:t>
      </w:r>
      <w:r w:rsidR="006A2A4D">
        <w:rPr>
          <w:rFonts w:ascii="Palatino Linotype" w:hAnsi="Palatino Linotype"/>
          <w:sz w:val="20"/>
          <w:szCs w:val="20"/>
        </w:rPr>
        <w:t xml:space="preserve"> and downloaded</w:t>
      </w:r>
      <w:r w:rsidR="00396D2C">
        <w:rPr>
          <w:rFonts w:ascii="Palatino Linotype" w:hAnsi="Palatino Linotype"/>
          <w:sz w:val="20"/>
          <w:szCs w:val="20"/>
        </w:rPr>
        <w:t xml:space="preserve"> on GitHub </w:t>
      </w:r>
      <w:r w:rsidR="006A2A4D">
        <w:rPr>
          <w:rFonts w:ascii="Palatino Linotype" w:hAnsi="Palatino Linotype"/>
          <w:sz w:val="20"/>
          <w:szCs w:val="20"/>
        </w:rPr>
        <w:t>at</w:t>
      </w:r>
      <w:r w:rsidR="00396D2C">
        <w:rPr>
          <w:rFonts w:ascii="Palatino Linotype" w:hAnsi="Palatino Linotype"/>
          <w:sz w:val="20"/>
          <w:szCs w:val="20"/>
        </w:rPr>
        <w:t xml:space="preserve"> </w:t>
      </w:r>
      <w:hyperlink r:id="rId12" w:history="1">
        <w:r w:rsidR="00396D2C" w:rsidRPr="00396D2C">
          <w:rPr>
            <w:rStyle w:val="Hyperlink"/>
            <w:rFonts w:ascii="Palatino Linotype" w:hAnsi="Palatino Linotype"/>
            <w:sz w:val="20"/>
            <w:szCs w:val="20"/>
          </w:rPr>
          <w:t>https://github.com/lucasomigli/SABR-volatility-models</w:t>
        </w:r>
      </w:hyperlink>
      <w:r w:rsidR="00396D2C">
        <w:rPr>
          <w:rFonts w:ascii="Palatino Linotype" w:hAnsi="Palatino Linotype"/>
          <w:sz w:val="20"/>
          <w:szCs w:val="20"/>
        </w:rPr>
        <w:t>.</w:t>
      </w:r>
      <w:r w:rsidR="0001362B">
        <w:rPr>
          <w:rFonts w:ascii="Palatino Linotype" w:hAnsi="Palatino Linotype"/>
          <w:sz w:val="20"/>
          <w:szCs w:val="20"/>
        </w:rPr>
        <w:t xml:space="preserve"> </w:t>
      </w:r>
      <w:r w:rsidR="003B2088">
        <w:rPr>
          <w:rFonts w:ascii="Palatino Linotype" w:hAnsi="Palatino Linotype"/>
          <w:sz w:val="20"/>
          <w:szCs w:val="20"/>
        </w:rPr>
        <w:t>More regarding the</w:t>
      </w:r>
      <w:r w:rsidR="0082665E">
        <w:rPr>
          <w:rFonts w:ascii="Palatino Linotype" w:hAnsi="Palatino Linotype"/>
          <w:sz w:val="20"/>
          <w:szCs w:val="20"/>
        </w:rPr>
        <w:t xml:space="preserve"> QuantLib</w:t>
      </w:r>
      <w:r w:rsidR="001D5DFC">
        <w:rPr>
          <w:rFonts w:ascii="Palatino Linotype" w:hAnsi="Palatino Linotype"/>
          <w:sz w:val="20"/>
          <w:szCs w:val="20"/>
        </w:rPr>
        <w:t xml:space="preserve"> port for python</w:t>
      </w:r>
      <w:r w:rsidR="003B2088">
        <w:rPr>
          <w:rFonts w:ascii="Palatino Linotype" w:hAnsi="Palatino Linotype"/>
          <w:sz w:val="20"/>
          <w:szCs w:val="20"/>
        </w:rPr>
        <w:t xml:space="preserve"> and its </w:t>
      </w:r>
      <w:r w:rsidR="001D5DFC">
        <w:rPr>
          <w:rFonts w:ascii="Palatino Linotype" w:hAnsi="Palatino Linotype"/>
          <w:sz w:val="20"/>
          <w:szCs w:val="20"/>
        </w:rPr>
        <w:t xml:space="preserve">full </w:t>
      </w:r>
      <w:r w:rsidR="003B2088">
        <w:rPr>
          <w:rFonts w:ascii="Palatino Linotype" w:hAnsi="Palatino Linotype"/>
          <w:sz w:val="20"/>
          <w:szCs w:val="20"/>
        </w:rPr>
        <w:t xml:space="preserve">documentation can be found on the official </w:t>
      </w:r>
      <w:r w:rsidR="001D5DFC">
        <w:rPr>
          <w:rFonts w:ascii="Palatino Linotype" w:hAnsi="Palatino Linotype"/>
          <w:sz w:val="20"/>
          <w:szCs w:val="20"/>
        </w:rPr>
        <w:t xml:space="preserve">developers’ </w:t>
      </w:r>
      <w:r w:rsidR="00631044">
        <w:rPr>
          <w:rFonts w:ascii="Palatino Linotype" w:hAnsi="Palatino Linotype"/>
          <w:sz w:val="20"/>
          <w:szCs w:val="20"/>
        </w:rPr>
        <w:t>GitHub</w:t>
      </w:r>
      <w:r w:rsidR="003B2088">
        <w:rPr>
          <w:rFonts w:ascii="Palatino Linotype" w:hAnsi="Palatino Linotype"/>
          <w:sz w:val="20"/>
          <w:szCs w:val="20"/>
        </w:rPr>
        <w:t xml:space="preserve"> page</w:t>
      </w:r>
      <w:r w:rsidR="001D5DFC">
        <w:rPr>
          <w:rFonts w:ascii="Palatino Linotype" w:hAnsi="Palatino Linotype"/>
          <w:sz w:val="20"/>
          <w:szCs w:val="20"/>
        </w:rPr>
        <w:t xml:space="preserve"> </w:t>
      </w:r>
      <m:oMath>
        <w:hyperlink r:id="rId13"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w:t>
      </w:r>
      <w:r w:rsidR="002C08C6">
        <w:rPr>
          <w:rFonts w:ascii="Palatino Linotype" w:hAnsi="Palatino Linotype"/>
          <w:sz w:val="20"/>
          <w:szCs w:val="20"/>
        </w:rPr>
        <w:t>or</w:t>
      </w:r>
      <w:r w:rsidR="003B2088">
        <w:rPr>
          <w:rFonts w:ascii="Palatino Linotype" w:hAnsi="Palatino Linotype"/>
          <w:sz w:val="20"/>
          <w:szCs w:val="20"/>
        </w:rPr>
        <w:t xml:space="preserve"> on the website </w:t>
      </w:r>
      <w:hyperlink r:id="rId14"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w:t>
      </w:r>
      <w:r w:rsidR="00BB168D">
        <w:rPr>
          <w:rFonts w:ascii="Palatino Linotype" w:hAnsi="Palatino Linotype"/>
          <w:sz w:val="20"/>
          <w:szCs w:val="20"/>
        </w:rPr>
        <w:t xml:space="preserve"> All volatility smiles and surfaces in </w:t>
      </w:r>
      <m:oMath>
        <m:r>
          <w:rPr>
            <w:rFonts w:ascii="Cambria Math" w:hAnsi="Cambria Math"/>
            <w:sz w:val="20"/>
            <w:szCs w:val="20"/>
          </w:rPr>
          <w:lastRenderedPageBreak/>
          <m:t>QuantLib</m:t>
        </m:r>
      </m:oMath>
      <w:r w:rsidR="00BB168D">
        <w:rPr>
          <w:rFonts w:ascii="Palatino Linotype" w:hAnsi="Palatino Linotype"/>
          <w:sz w:val="20"/>
          <w:szCs w:val="20"/>
        </w:rPr>
        <w:t xml:space="preserve"> are calculated using bicubic interpolation. </w:t>
      </w:r>
      <w:r w:rsidR="0001689B">
        <w:rPr>
          <w:rFonts w:ascii="Palatino Linotype" w:hAnsi="Palatino Linotype"/>
          <w:sz w:val="20"/>
          <w:szCs w:val="20"/>
        </w:rPr>
        <w:t xml:space="preserve">SABR models are parametrized using the </w:t>
      </w:r>
      <m:oMath>
        <m:r>
          <w:rPr>
            <w:rFonts w:ascii="Cambria Math" w:hAnsi="Cambria Math"/>
            <w:sz w:val="20"/>
            <w:szCs w:val="20"/>
          </w:rPr>
          <m:t>scipy.optimize</m:t>
        </m:r>
      </m:oMath>
      <w:r w:rsidR="0001689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Pr>
          <w:rFonts w:ascii="Palatino Linotype" w:hAnsi="Palatino Linotype"/>
          <w:sz w:val="20"/>
          <w:szCs w:val="20"/>
        </w:rPr>
        <w:t xml:space="preserve"> library. </w:t>
      </w:r>
      <w:r w:rsidR="002C61DE">
        <w:rPr>
          <w:rFonts w:ascii="Palatino Linotype" w:hAnsi="Palatino Linotype"/>
          <w:sz w:val="20"/>
          <w:szCs w:val="20"/>
        </w:rPr>
        <w:t xml:space="preserve">The code for each computation is available in the Appendix section. </w:t>
      </w:r>
      <w:r w:rsidR="007015D5">
        <w:rPr>
          <w:rFonts w:ascii="Palatino Linotype" w:hAnsi="Palatino Linotype"/>
          <w:sz w:val="20"/>
          <w:szCs w:val="20"/>
        </w:rPr>
        <w:t xml:space="preserve">The machine </w:t>
      </w:r>
      <w:r w:rsidR="00456507">
        <w:rPr>
          <w:rFonts w:ascii="Palatino Linotype" w:hAnsi="Palatino Linotype"/>
          <w:sz w:val="20"/>
          <w:szCs w:val="20"/>
        </w:rPr>
        <w:t>on</w:t>
      </w:r>
      <w:r w:rsidR="007015D5">
        <w:rPr>
          <w:rFonts w:ascii="Palatino Linotype" w:hAnsi="Palatino Linotype"/>
          <w:sz w:val="20"/>
          <w:szCs w:val="20"/>
        </w:rPr>
        <w:t xml:space="preserve">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33FCBEC5" w14:textId="7465382F" w:rsidR="00C006D8" w:rsidRDefault="00C006D8" w:rsidP="006127CA">
      <w:pPr>
        <w:pStyle w:val="Heading2"/>
        <w:spacing w:line="360" w:lineRule="auto"/>
      </w:pPr>
      <w:r>
        <w:t>Analysis</w:t>
      </w:r>
    </w:p>
    <w:p w14:paraId="7E4C57E7" w14:textId="4F75E937" w:rsidR="00443B36" w:rsidRDefault="00BB168D" w:rsidP="006127CA">
      <w:pPr>
        <w:pStyle w:val="Heading3"/>
        <w:spacing w:line="360" w:lineRule="auto"/>
        <w:rPr>
          <w:rFonts w:ascii="Palatino Linotype" w:hAnsi="Palatino Linotype"/>
        </w:rPr>
      </w:pPr>
      <w:r>
        <w:rPr>
          <w:rFonts w:ascii="Palatino Linotype" w:hAnsi="Palatino Linotype"/>
        </w:rPr>
        <w:t>Black Volatility Surface</w:t>
      </w:r>
    </w:p>
    <w:p w14:paraId="6B8073AF" w14:textId="3C9BB6DF" w:rsidR="00AE30A5" w:rsidRDefault="00443B36" w:rsidP="006127CA">
      <w:pPr>
        <w:spacing w:line="360" w:lineRule="auto"/>
        <w:jc w:val="both"/>
        <w:rPr>
          <w:rFonts w:ascii="Palatino Linotype" w:hAnsi="Palatino Linotype"/>
          <w:sz w:val="20"/>
          <w:szCs w:val="20"/>
        </w:rPr>
      </w:pPr>
      <w:r>
        <w:rPr>
          <w:rFonts w:ascii="Palatino Linotype" w:hAnsi="Palatino Linotype"/>
          <w:sz w:val="20"/>
          <w:szCs w:val="20"/>
        </w:rPr>
        <w:t>We start by introducing</w:t>
      </w:r>
      <w:r w:rsidRPr="00443B36">
        <w:rPr>
          <w:rFonts w:ascii="Palatino Linotype" w:hAnsi="Palatino Linotype"/>
          <w:sz w:val="20"/>
          <w:szCs w:val="20"/>
        </w:rPr>
        <w:t xml:space="preserve"> </w:t>
      </w:r>
      <w:r>
        <w:rPr>
          <w:rFonts w:ascii="Palatino Linotype" w:hAnsi="Palatino Linotype"/>
          <w:sz w:val="20"/>
          <w:szCs w:val="20"/>
        </w:rPr>
        <w:t xml:space="preserve">the implied volatility smiles for a range of tenors. </w:t>
      </w:r>
      <w:r w:rsidR="00F64AEA">
        <w:rPr>
          <w:rFonts w:ascii="Palatino Linotype" w:hAnsi="Palatino Linotype"/>
          <w:sz w:val="20"/>
          <w:szCs w:val="20"/>
        </w:rPr>
        <w:t xml:space="preserve">These smiles are </w:t>
      </w:r>
      <w:r w:rsidR="009872F8">
        <w:rPr>
          <w:rFonts w:ascii="Palatino Linotype" w:hAnsi="Palatino Linotype"/>
          <w:sz w:val="20"/>
          <w:szCs w:val="20"/>
        </w:rPr>
        <w:t xml:space="preserve">directly </w:t>
      </w:r>
      <w:r w:rsidR="00F64AEA">
        <w:rPr>
          <w:rFonts w:ascii="Palatino Linotype" w:hAnsi="Palatino Linotype"/>
          <w:sz w:val="20"/>
          <w:szCs w:val="20"/>
        </w:rPr>
        <w:t xml:space="preserve">built </w:t>
      </w:r>
      <w:r w:rsidR="009872F8">
        <w:rPr>
          <w:rFonts w:ascii="Palatino Linotype" w:hAnsi="Palatino Linotype"/>
          <w:sz w:val="20"/>
          <w:szCs w:val="20"/>
        </w:rPr>
        <w:t xml:space="preserve">from market data. </w:t>
      </w:r>
      <w:r>
        <w:rPr>
          <w:rFonts w:ascii="Palatino Linotype" w:hAnsi="Palatino Linotype"/>
          <w:sz w:val="20"/>
          <w:szCs w:val="20"/>
        </w:rPr>
        <w:t>The</w:t>
      </w:r>
      <w:r w:rsidR="0049615E">
        <w:rPr>
          <w:rFonts w:ascii="Palatino Linotype" w:hAnsi="Palatino Linotype"/>
          <w:sz w:val="20"/>
          <w:szCs w:val="20"/>
        </w:rPr>
        <w:t>n</w:t>
      </w:r>
      <w:r>
        <w:rPr>
          <w:rFonts w:ascii="Palatino Linotype" w:hAnsi="Palatino Linotype"/>
          <w:sz w:val="20"/>
          <w:szCs w:val="20"/>
        </w:rPr>
        <w:t xml:space="preserve">, </w:t>
      </w:r>
      <w:r w:rsidR="00841FAB">
        <w:rPr>
          <w:rFonts w:ascii="Palatino Linotype" w:hAnsi="Palatino Linotype"/>
          <w:sz w:val="20"/>
          <w:szCs w:val="20"/>
        </w:rPr>
        <w:t>these</w:t>
      </w:r>
      <w:r>
        <w:rPr>
          <w:rFonts w:ascii="Palatino Linotype" w:hAnsi="Palatino Linotype"/>
          <w:sz w:val="20"/>
          <w:szCs w:val="20"/>
        </w:rPr>
        <w:t xml:space="preserve"> smiles </w:t>
      </w:r>
      <w:r w:rsidR="00841FAB">
        <w:rPr>
          <w:rFonts w:ascii="Palatino Linotype" w:hAnsi="Palatino Linotype"/>
          <w:sz w:val="20"/>
          <w:szCs w:val="20"/>
        </w:rPr>
        <w:t>are used together in order to construct the volatility matrix</w:t>
      </w:r>
      <w:r w:rsidR="00BC2EF7">
        <w:rPr>
          <w:rFonts w:ascii="Palatino Linotype" w:hAnsi="Palatino Linotype"/>
          <w:sz w:val="20"/>
          <w:szCs w:val="20"/>
        </w:rPr>
        <w:t>. I</w:t>
      </w:r>
      <w:r w:rsidR="00841FAB">
        <w:rPr>
          <w:rFonts w:ascii="Palatino Linotype" w:hAnsi="Palatino Linotype"/>
          <w:sz w:val="20"/>
          <w:szCs w:val="20"/>
        </w:rPr>
        <w:t xml:space="preserve">n </w:t>
      </w:r>
      <m:oMath>
        <m:r>
          <w:rPr>
            <w:rFonts w:ascii="Cambria Math" w:hAnsi="Cambria Math"/>
            <w:sz w:val="20"/>
            <w:szCs w:val="20"/>
          </w:rPr>
          <m:t>QuantLib</m:t>
        </m:r>
      </m:oMath>
      <w:r w:rsidR="00841FAB">
        <w:rPr>
          <w:rFonts w:ascii="Palatino Linotype" w:hAnsi="Palatino Linotype"/>
          <w:sz w:val="20"/>
          <w:szCs w:val="20"/>
        </w:rPr>
        <w:t xml:space="preserve"> </w:t>
      </w:r>
      <w:r w:rsidR="00BC2EF7">
        <w:rPr>
          <w:rFonts w:ascii="Palatino Linotype" w:hAnsi="Palatino Linotype"/>
          <w:sz w:val="20"/>
          <w:szCs w:val="20"/>
        </w:rPr>
        <w:t xml:space="preserve">this is done </w:t>
      </w:r>
      <w:r w:rsidR="00841FAB">
        <w:rPr>
          <w:rFonts w:ascii="Palatino Linotype" w:hAnsi="Palatino Linotype"/>
          <w:sz w:val="20"/>
          <w:szCs w:val="20"/>
        </w:rPr>
        <w:t xml:space="preserve">using </w:t>
      </w:r>
      <m:oMath>
        <m:r>
          <w:rPr>
            <w:rFonts w:ascii="Cambria Math" w:hAnsi="Cambria Math"/>
            <w:sz w:val="20"/>
            <w:szCs w:val="20"/>
          </w:rPr>
          <m:t>ql.Matrix()</m:t>
        </m:r>
      </m:oMath>
      <w:r w:rsidR="002F7389">
        <w:rPr>
          <w:rFonts w:ascii="Palatino Linotype" w:hAnsi="Palatino Linotype"/>
          <w:sz w:val="20"/>
          <w:szCs w:val="20"/>
        </w:rPr>
        <w:t xml:space="preserve">. </w:t>
      </w:r>
      <w:r w:rsidR="00273A2D">
        <w:rPr>
          <w:rFonts w:ascii="Palatino Linotype" w:hAnsi="Palatino Linotype"/>
          <w:sz w:val="20"/>
          <w:szCs w:val="20"/>
        </w:rPr>
        <w:t>Moreover, t</w:t>
      </w:r>
      <w:r w:rsidR="004009E8">
        <w:rPr>
          <w:rFonts w:ascii="Palatino Linotype" w:hAnsi="Palatino Linotype"/>
          <w:sz w:val="20"/>
          <w:szCs w:val="20"/>
        </w:rPr>
        <w:t xml:space="preserve">he </w:t>
      </w:r>
      <w:r w:rsidR="001B4890">
        <w:rPr>
          <w:rFonts w:ascii="Palatino Linotype" w:hAnsi="Palatino Linotype"/>
          <w:sz w:val="20"/>
          <w:szCs w:val="20"/>
        </w:rPr>
        <w:t>resulting matrix</w:t>
      </w:r>
      <w:r w:rsidR="004009E8">
        <w:rPr>
          <w:rFonts w:ascii="Palatino Linotype" w:hAnsi="Palatino Linotype"/>
          <w:sz w:val="20"/>
          <w:szCs w:val="20"/>
        </w:rPr>
        <w:t xml:space="preserve"> is </w:t>
      </w:r>
      <w:r w:rsidR="0049615E">
        <w:rPr>
          <w:rFonts w:ascii="Palatino Linotype" w:hAnsi="Palatino Linotype"/>
          <w:sz w:val="20"/>
          <w:szCs w:val="20"/>
        </w:rPr>
        <w:t xml:space="preserve">plugged into the method </w:t>
      </w:r>
      <m:oMath>
        <m:r>
          <w:rPr>
            <w:rFonts w:ascii="Cambria Math" w:hAnsi="Cambria Math"/>
            <w:sz w:val="20"/>
            <w:szCs w:val="20"/>
          </w:rPr>
          <m:t>ql.BlackVarianceSurface()</m:t>
        </m:r>
      </m:oMath>
      <w:r w:rsidR="00B22CDD">
        <w:rPr>
          <w:rFonts w:ascii="Palatino Linotype" w:hAnsi="Palatino Linotype"/>
          <w:sz w:val="20"/>
          <w:szCs w:val="20"/>
        </w:rPr>
        <w:t xml:space="preserve"> by setting the calculation date for the </w:t>
      </w:r>
      <w:r w:rsidR="004769AD">
        <w:rPr>
          <w:rFonts w:ascii="Palatino Linotype" w:hAnsi="Palatino Linotype"/>
          <w:sz w:val="20"/>
          <w:szCs w:val="20"/>
        </w:rPr>
        <w:t>time when data was collected</w:t>
      </w:r>
      <w:r w:rsidR="00F854F0">
        <w:rPr>
          <w:rFonts w:ascii="Palatino Linotype" w:hAnsi="Palatino Linotype"/>
          <w:sz w:val="20"/>
          <w:szCs w:val="20"/>
        </w:rPr>
        <w:t xml:space="preserve"> and the day count convention to </w:t>
      </w:r>
      <m:oMath>
        <m:r>
          <w:rPr>
            <w:rFonts w:ascii="Cambria Math" w:hAnsi="Cambria Math"/>
            <w:sz w:val="20"/>
            <w:szCs w:val="20"/>
          </w:rPr>
          <m:t>ql.Actual365Fixed()</m:t>
        </m:r>
      </m:oMath>
      <w:r w:rsidR="0049615E">
        <w:rPr>
          <w:rFonts w:ascii="Palatino Linotype" w:hAnsi="Palatino Linotype"/>
          <w:sz w:val="20"/>
          <w:szCs w:val="20"/>
        </w:rPr>
        <w:t xml:space="preserve">. </w:t>
      </w:r>
      <w:r w:rsidR="00FA42C7">
        <w:rPr>
          <w:rFonts w:ascii="Palatino Linotype" w:hAnsi="Palatino Linotype"/>
          <w:sz w:val="20"/>
          <w:szCs w:val="20"/>
        </w:rPr>
        <w:t>Th</w:t>
      </w:r>
      <w:r w:rsidR="008F4471">
        <w:rPr>
          <w:rFonts w:ascii="Palatino Linotype" w:hAnsi="Palatino Linotype"/>
          <w:sz w:val="20"/>
          <w:szCs w:val="20"/>
        </w:rPr>
        <w:t>is</w:t>
      </w:r>
      <w:r w:rsidR="00FA42C7">
        <w:rPr>
          <w:rFonts w:ascii="Palatino Linotype" w:hAnsi="Palatino Linotype"/>
          <w:sz w:val="20"/>
          <w:szCs w:val="20"/>
        </w:rPr>
        <w:t xml:space="preserve"> method constructs a surface </w:t>
      </w:r>
      <w:r w:rsidR="006758E3">
        <w:rPr>
          <w:rFonts w:ascii="Palatino Linotype" w:hAnsi="Palatino Linotype"/>
          <w:sz w:val="20"/>
          <w:szCs w:val="20"/>
        </w:rPr>
        <w:t>using linear interpolation</w:t>
      </w:r>
      <w:r w:rsidR="00D31C0C">
        <w:rPr>
          <w:rFonts w:ascii="Palatino Linotype" w:hAnsi="Palatino Linotype"/>
          <w:sz w:val="20"/>
          <w:szCs w:val="20"/>
        </w:rPr>
        <w:t xml:space="preserve"> (although other ways are possible, such as </w:t>
      </w:r>
      <m:oMath>
        <m:r>
          <w:rPr>
            <w:rFonts w:ascii="Cambria Math" w:hAnsi="Cambria Math"/>
            <w:sz w:val="20"/>
            <w:szCs w:val="20"/>
          </w:rPr>
          <m:t>LogLinearInterpolation, BicubicSpline</m:t>
        </m:r>
      </m:oMath>
      <w:r w:rsidR="00D31C0C">
        <w:rPr>
          <w:rFonts w:ascii="Palatino Linotype" w:hAnsi="Palatino Linotype"/>
          <w:sz w:val="20"/>
          <w:szCs w:val="20"/>
        </w:rPr>
        <w:t xml:space="preserve"> or </w:t>
      </w:r>
      <m:oMath>
        <m:r>
          <w:rPr>
            <w:rFonts w:ascii="Cambria Math" w:hAnsi="Cambria Math"/>
            <w:sz w:val="20"/>
            <w:szCs w:val="20"/>
          </w:rPr>
          <m:t>KernelInterpolation</m:t>
        </m:r>
      </m:oMath>
      <w:r w:rsidR="00D31C0C">
        <w:rPr>
          <w:rFonts w:ascii="Palatino Linotype" w:hAnsi="Palatino Linotype"/>
          <w:sz w:val="20"/>
          <w:szCs w:val="20"/>
        </w:rPr>
        <w:t xml:space="preserve"> and more)</w:t>
      </w:r>
      <w:r w:rsidR="00FA42C7">
        <w:rPr>
          <w:rFonts w:ascii="Palatino Linotype" w:hAnsi="Palatino Linotype"/>
          <w:sz w:val="20"/>
          <w:szCs w:val="20"/>
        </w:rPr>
        <w:t xml:space="preserve">. </w:t>
      </w:r>
      <w:r w:rsidR="00031C60">
        <w:rPr>
          <w:rFonts w:ascii="Palatino Linotype" w:hAnsi="Palatino Linotype"/>
          <w:sz w:val="20"/>
          <w:szCs w:val="20"/>
        </w:rPr>
        <w:t xml:space="preserve">The </w:t>
      </w:r>
      <w:r w:rsidR="00D9707E">
        <w:rPr>
          <w:rFonts w:ascii="Palatino Linotype" w:hAnsi="Palatino Linotype"/>
          <w:sz w:val="20"/>
          <w:szCs w:val="20"/>
        </w:rPr>
        <w:t xml:space="preserve">resulting </w:t>
      </w:r>
      <w:r w:rsidR="00031C60">
        <w:rPr>
          <w:rFonts w:ascii="Palatino Linotype" w:hAnsi="Palatino Linotype"/>
          <w:sz w:val="20"/>
          <w:szCs w:val="20"/>
        </w:rPr>
        <w:t xml:space="preserve">Black implied volatility </w:t>
      </w:r>
      <w:r w:rsidR="00DD24C9">
        <w:rPr>
          <w:rFonts w:ascii="Palatino Linotype" w:hAnsi="Palatino Linotype"/>
          <w:sz w:val="20"/>
          <w:szCs w:val="20"/>
        </w:rPr>
        <w:t xml:space="preserve">smile and surface </w:t>
      </w:r>
      <w:r w:rsidR="00031C60">
        <w:rPr>
          <w:rFonts w:ascii="Palatino Linotype" w:hAnsi="Palatino Linotype"/>
          <w:sz w:val="20"/>
          <w:szCs w:val="20"/>
        </w:rPr>
        <w:t>can be seen below</w:t>
      </w:r>
      <w:r w:rsidR="00AE2673">
        <w:rPr>
          <w:rFonts w:ascii="Palatino Linotype" w:hAnsi="Palatino Linotype"/>
          <w:sz w:val="20"/>
          <w:szCs w:val="20"/>
        </w:rPr>
        <w:t xml:space="preserve"> along with </w:t>
      </w:r>
      <w:r w:rsidR="00120882">
        <w:rPr>
          <w:rFonts w:ascii="Palatino Linotype" w:hAnsi="Palatino Linotype"/>
          <w:sz w:val="20"/>
          <w:szCs w:val="20"/>
        </w:rPr>
        <w:t>at-the-money</w:t>
      </w:r>
      <w:r w:rsidR="0078362B">
        <w:rPr>
          <w:rFonts w:ascii="Palatino Linotype" w:hAnsi="Palatino Linotype"/>
          <w:sz w:val="20"/>
          <w:szCs w:val="20"/>
        </w:rPr>
        <w:t xml:space="preserve"> market data</w:t>
      </w:r>
      <w:r w:rsidR="00031C60">
        <w:rPr>
          <w:rFonts w:ascii="Palatino Linotype" w:hAnsi="Palatino Linotype"/>
          <w:sz w:val="20"/>
          <w:szCs w:val="20"/>
        </w:rPr>
        <w:t>.</w:t>
      </w:r>
    </w:p>
    <w:p w14:paraId="520C81C9" w14:textId="77777777" w:rsidR="00AE30A5" w:rsidRDefault="00AE30A5" w:rsidP="006127CA">
      <w:pPr>
        <w:spacing w:line="360" w:lineRule="auto"/>
        <w:jc w:val="both"/>
        <w:rPr>
          <w:rFonts w:ascii="Palatino Linotype" w:hAnsi="Palatino Linotype"/>
          <w:sz w:val="20"/>
          <w:szCs w:val="20"/>
        </w:rPr>
      </w:pPr>
    </w:p>
    <w:p w14:paraId="494A9CAD" w14:textId="39E2EF8B" w:rsidR="00443B36" w:rsidRDefault="00443B36" w:rsidP="006127CA">
      <w:pPr>
        <w:spacing w:line="360" w:lineRule="auto"/>
        <w:jc w:val="both"/>
        <w:rPr>
          <w:rFonts w:ascii="Palatino Linotype" w:hAnsi="Palatino Linotype"/>
          <w:sz w:val="20"/>
          <w:szCs w:val="20"/>
        </w:rPr>
      </w:pPr>
      <w:r>
        <w:rPr>
          <w:rFonts w:ascii="Palatino Linotype" w:hAnsi="Palatino Linotype"/>
          <w:sz w:val="20"/>
          <w:szCs w:val="20"/>
        </w:rPr>
        <w:t>FIGURE</w:t>
      </w:r>
      <w:r w:rsidR="003C01BB">
        <w:rPr>
          <w:rFonts w:ascii="Palatino Linotype" w:hAnsi="Palatino Linotype"/>
          <w:sz w:val="20"/>
          <w:szCs w:val="20"/>
        </w:rPr>
        <w:t>(</w:t>
      </w:r>
      <w:r w:rsidR="00440D6A">
        <w:rPr>
          <w:rFonts w:ascii="Palatino Linotype" w:hAnsi="Palatino Linotype"/>
          <w:sz w:val="20"/>
          <w:szCs w:val="20"/>
        </w:rPr>
        <w:t>Volatility</w:t>
      </w:r>
      <w:r w:rsidR="003C01BB">
        <w:rPr>
          <w:rFonts w:ascii="Palatino Linotype" w:hAnsi="Palatino Linotype"/>
          <w:sz w:val="20"/>
          <w:szCs w:val="20"/>
        </w:rPr>
        <w:t xml:space="preserve"> Smiles for Black model)</w:t>
      </w:r>
    </w:p>
    <w:p w14:paraId="5AC7DA23" w14:textId="500F4702" w:rsidR="003C01BB" w:rsidRDefault="003C01BB" w:rsidP="006127CA">
      <w:pPr>
        <w:spacing w:line="360" w:lineRule="auto"/>
        <w:jc w:val="both"/>
        <w:rPr>
          <w:rFonts w:ascii="Palatino Linotype" w:hAnsi="Palatino Linotype"/>
          <w:sz w:val="20"/>
          <w:szCs w:val="20"/>
        </w:rPr>
      </w:pPr>
      <w:r>
        <w:rPr>
          <w:rFonts w:ascii="Palatino Linotype" w:hAnsi="Palatino Linotype"/>
          <w:sz w:val="20"/>
          <w:szCs w:val="20"/>
        </w:rPr>
        <w:t>FIGURE(</w:t>
      </w:r>
      <w:r w:rsidR="00440D6A">
        <w:rPr>
          <w:rFonts w:ascii="Palatino Linotype" w:hAnsi="Palatino Linotype"/>
          <w:sz w:val="20"/>
          <w:szCs w:val="20"/>
        </w:rPr>
        <w:t>Volatility</w:t>
      </w:r>
      <w:r>
        <w:rPr>
          <w:rFonts w:ascii="Palatino Linotype" w:hAnsi="Palatino Linotype"/>
          <w:sz w:val="20"/>
          <w:szCs w:val="20"/>
        </w:rPr>
        <w:t xml:space="preserve"> Surface for </w:t>
      </w:r>
      <w:r w:rsidR="0091781B">
        <w:rPr>
          <w:rFonts w:ascii="Palatino Linotype" w:hAnsi="Palatino Linotype"/>
          <w:sz w:val="20"/>
          <w:szCs w:val="20"/>
        </w:rPr>
        <w:t xml:space="preserve">implied </w:t>
      </w:r>
      <w:r>
        <w:rPr>
          <w:rFonts w:ascii="Palatino Linotype" w:hAnsi="Palatino Linotype"/>
          <w:sz w:val="20"/>
          <w:szCs w:val="20"/>
        </w:rPr>
        <w:t>Black model)</w:t>
      </w:r>
    </w:p>
    <w:p w14:paraId="7980C56F" w14:textId="4E6963ED" w:rsidR="00443B36" w:rsidRPr="00443B36" w:rsidRDefault="00443B36" w:rsidP="006127CA">
      <w:pPr>
        <w:spacing w:line="360" w:lineRule="auto"/>
      </w:pPr>
    </w:p>
    <w:p w14:paraId="0C40877A" w14:textId="75487326" w:rsidR="007B7F93" w:rsidRDefault="007B7F93" w:rsidP="006127CA">
      <w:pPr>
        <w:pStyle w:val="Heading3"/>
        <w:spacing w:line="360" w:lineRule="auto"/>
      </w:pPr>
      <w:r>
        <w:t>Local Volatility Model</w:t>
      </w:r>
    </w:p>
    <w:p w14:paraId="4E719573" w14:textId="0898C5FF" w:rsidR="008960EC" w:rsidRDefault="007B7F93" w:rsidP="006127CA">
      <w:pPr>
        <w:spacing w:line="360" w:lineRule="auto"/>
        <w:jc w:val="both"/>
        <w:rPr>
          <w:rFonts w:ascii="Palatino Linotype" w:hAnsi="Palatino Linotype"/>
          <w:sz w:val="20"/>
          <w:szCs w:val="20"/>
        </w:rPr>
      </w:pPr>
      <w:r>
        <w:rPr>
          <w:rFonts w:ascii="Palatino Linotype" w:hAnsi="Palatino Linotype"/>
          <w:sz w:val="20"/>
          <w:szCs w:val="20"/>
        </w:rPr>
        <w:t xml:space="preserve">As explained previously, the Local Volatility Model builds by solving Dupire’s equation using implied volatility and market data. In </w:t>
      </w:r>
      <m:oMath>
        <m:r>
          <w:rPr>
            <w:rFonts w:ascii="Cambria Math" w:hAnsi="Cambria Math"/>
            <w:sz w:val="20"/>
            <w:szCs w:val="20"/>
          </w:rPr>
          <m:t>QuantLib</m:t>
        </m:r>
      </m:oMath>
      <w:r>
        <w:rPr>
          <w:rFonts w:ascii="Palatino Linotype" w:hAnsi="Palatino Linotype"/>
          <w:sz w:val="20"/>
          <w:szCs w:val="20"/>
        </w:rPr>
        <w:t xml:space="preserve">, this is done by using the related process </w:t>
      </w:r>
      <m:oMath>
        <m:r>
          <w:rPr>
            <w:rFonts w:ascii="Cambria Math" w:hAnsi="Cambria Math"/>
            <w:sz w:val="20"/>
            <w:szCs w:val="20"/>
          </w:rPr>
          <m:t>ql.LocalVolSurface()</m:t>
        </m:r>
      </m:oMath>
      <w:r>
        <w:rPr>
          <w:rFonts w:ascii="Palatino Linotype" w:hAnsi="Palatino Linotype"/>
          <w:sz w:val="20"/>
          <w:szCs w:val="20"/>
        </w:rPr>
        <w:t xml:space="preserve"> and plugging as arguments the yield term structure, the dividend term structure and the spot rate. As for our case, we assume no dividends are paid and hence an empty dividend term structure object was passed.</w:t>
      </w:r>
    </w:p>
    <w:p w14:paraId="67F08A8C" w14:textId="5953CBE6" w:rsidR="008960EC" w:rsidRDefault="00346431" w:rsidP="006127CA">
      <w:pPr>
        <w:spacing w:line="360" w:lineRule="auto"/>
        <w:jc w:val="both"/>
        <w:rPr>
          <w:rFonts w:ascii="Palatino Linotype" w:hAnsi="Palatino Linotype"/>
          <w:sz w:val="20"/>
          <w:szCs w:val="20"/>
        </w:rPr>
      </w:pPr>
      <w:r>
        <w:rPr>
          <w:rFonts w:ascii="Palatino Linotype" w:hAnsi="Palatino Linotype"/>
          <w:sz w:val="20"/>
          <w:szCs w:val="20"/>
        </w:rPr>
        <w:t>While we know that the Local Volatility Surface holds problems as with being a stochastic process in volatility and necessarily will not get the right prices at each strike, t</w:t>
      </w:r>
      <w:r w:rsidR="008960EC">
        <w:rPr>
          <w:rFonts w:ascii="Palatino Linotype" w:hAnsi="Palatino Linotype"/>
          <w:sz w:val="20"/>
          <w:szCs w:val="20"/>
        </w:rPr>
        <w:t>here are a few problems with the Dupire calibration function</w:t>
      </w:r>
      <w:r>
        <w:rPr>
          <w:rFonts w:ascii="Palatino Linotype" w:hAnsi="Palatino Linotype"/>
          <w:sz w:val="20"/>
          <w:szCs w:val="20"/>
        </w:rPr>
        <w:t xml:space="preserve"> </w:t>
      </w:r>
      <w:r w:rsidR="0070376C">
        <w:rPr>
          <w:rFonts w:ascii="Palatino Linotype" w:hAnsi="Palatino Linotype"/>
          <w:sz w:val="20"/>
          <w:szCs w:val="20"/>
        </w:rPr>
        <w:t>inherently in</w:t>
      </w:r>
      <w:r w:rsidR="008960EC">
        <w:rPr>
          <w:rFonts w:ascii="Palatino Linotype" w:hAnsi="Palatino Linotype"/>
          <w:sz w:val="20"/>
          <w:szCs w:val="20"/>
        </w:rPr>
        <w:t xml:space="preserve"> </w:t>
      </w:r>
      <m:oMath>
        <m:r>
          <w:rPr>
            <w:rFonts w:ascii="Cambria Math" w:hAnsi="Cambria Math"/>
            <w:sz w:val="20"/>
            <w:szCs w:val="20"/>
          </w:rPr>
          <m:t>Quantlib</m:t>
        </m:r>
      </m:oMath>
      <w:r w:rsidR="008960EC">
        <w:rPr>
          <w:rFonts w:ascii="Palatino Linotype" w:hAnsi="Palatino Linotype"/>
          <w:sz w:val="20"/>
          <w:szCs w:val="20"/>
        </w:rPr>
        <w:t xml:space="preserve">. </w:t>
      </w:r>
      <w:r w:rsidR="0070376C">
        <w:rPr>
          <w:rFonts w:ascii="Palatino Linotype" w:hAnsi="Palatino Linotype"/>
          <w:sz w:val="20"/>
          <w:szCs w:val="20"/>
        </w:rPr>
        <w:t>In fact, the library</w:t>
      </w:r>
      <w:r w:rsidR="008960EC">
        <w:rPr>
          <w:rFonts w:ascii="Palatino Linotype" w:hAnsi="Palatino Linotype"/>
          <w:sz w:val="20"/>
          <w:szCs w:val="20"/>
        </w:rPr>
        <w:t xml:space="preserve"> currently does not support a constant calibration of parameters </w:t>
      </w:r>
      <w:r w:rsidR="00473840">
        <w:rPr>
          <w:rFonts w:ascii="Palatino Linotype" w:hAnsi="Palatino Linotype"/>
          <w:sz w:val="20"/>
          <w:szCs w:val="20"/>
        </w:rPr>
        <w:t>and</w:t>
      </w:r>
      <w:r w:rsidR="008960EC">
        <w:rPr>
          <w:rFonts w:ascii="Palatino Linotype" w:hAnsi="Palatino Linotype"/>
          <w:sz w:val="20"/>
          <w:szCs w:val="20"/>
        </w:rPr>
        <w:t xml:space="preserve"> the process requires the second derivative w.r.t the strike</w:t>
      </w:r>
      <w:r w:rsidR="00DE3B21">
        <w:rPr>
          <w:rFonts w:ascii="Palatino Linotype" w:hAnsi="Palatino Linotype"/>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K</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2</m:t>
                </m:r>
              </m:sup>
            </m:sSup>
          </m:den>
        </m:f>
      </m:oMath>
      <w:r w:rsidR="008960EC">
        <w:rPr>
          <w:rFonts w:ascii="Palatino Linotype" w:hAnsi="Palatino Linotype"/>
          <w:sz w:val="20"/>
          <w:szCs w:val="20"/>
        </w:rPr>
        <w:t xml:space="preserve">, </w:t>
      </w:r>
      <w:r w:rsidR="00DE3B21">
        <w:rPr>
          <w:rFonts w:ascii="Palatino Linotype" w:hAnsi="Palatino Linotype"/>
          <w:sz w:val="20"/>
          <w:szCs w:val="20"/>
        </w:rPr>
        <w:t xml:space="preserve">which is a problem </w:t>
      </w:r>
      <w:r w:rsidR="00CC65C6">
        <w:rPr>
          <w:rFonts w:ascii="Palatino Linotype" w:hAnsi="Palatino Linotype"/>
          <w:sz w:val="20"/>
          <w:szCs w:val="20"/>
        </w:rPr>
        <w:t xml:space="preserve">to compute </w:t>
      </w:r>
      <w:r w:rsidR="00DE3B21">
        <w:rPr>
          <w:rFonts w:ascii="Palatino Linotype" w:hAnsi="Palatino Linotype"/>
          <w:sz w:val="20"/>
          <w:szCs w:val="20"/>
        </w:rPr>
        <w:t>with discrete data. So, in order to get as accurate as possible</w:t>
      </w:r>
      <w:r w:rsidR="007A75D2">
        <w:rPr>
          <w:rFonts w:ascii="Palatino Linotype" w:hAnsi="Palatino Linotype"/>
          <w:sz w:val="20"/>
          <w:szCs w:val="20"/>
        </w:rPr>
        <w:t>,</w:t>
      </w:r>
      <w:r w:rsidR="008960EC">
        <w:rPr>
          <w:rFonts w:ascii="Palatino Linotype" w:hAnsi="Palatino Linotype"/>
          <w:sz w:val="20"/>
          <w:szCs w:val="20"/>
        </w:rPr>
        <w:t xml:space="preserve"> we would need to use cubic spline interpolation</w:t>
      </w:r>
      <w:r w:rsidR="00636CD4">
        <w:rPr>
          <w:rFonts w:ascii="Palatino Linotype" w:hAnsi="Palatino Linotype"/>
          <w:sz w:val="20"/>
          <w:szCs w:val="20"/>
        </w:rPr>
        <w:t xml:space="preserve"> </w:t>
      </w:r>
      <w:r w:rsidR="00714FDB">
        <w:rPr>
          <w:rFonts w:ascii="Palatino Linotype" w:hAnsi="Palatino Linotype"/>
          <w:sz w:val="20"/>
          <w:szCs w:val="20"/>
        </w:rPr>
        <w:t>and</w:t>
      </w:r>
      <w:r w:rsidR="00636CD4">
        <w:rPr>
          <w:rFonts w:ascii="Palatino Linotype" w:hAnsi="Palatino Linotype"/>
          <w:sz w:val="20"/>
          <w:szCs w:val="20"/>
        </w:rPr>
        <w:t xml:space="preserve"> obtain valid enough </w:t>
      </w:r>
      <w:r w:rsidR="00EE53F0">
        <w:rPr>
          <w:rFonts w:ascii="Palatino Linotype" w:hAnsi="Palatino Linotype"/>
          <w:sz w:val="20"/>
          <w:szCs w:val="20"/>
        </w:rPr>
        <w:t>output</w:t>
      </w:r>
      <w:r w:rsidR="00636CD4">
        <w:rPr>
          <w:rFonts w:ascii="Palatino Linotype" w:hAnsi="Palatino Linotype"/>
          <w:sz w:val="20"/>
          <w:szCs w:val="20"/>
        </w:rPr>
        <w:t>, but</w:t>
      </w:r>
      <w:r w:rsidR="00073A43">
        <w:rPr>
          <w:rFonts w:ascii="Palatino Linotype" w:hAnsi="Palatino Linotype"/>
          <w:sz w:val="20"/>
          <w:szCs w:val="20"/>
        </w:rPr>
        <w:t xml:space="preserve"> by doing so</w:t>
      </w:r>
      <w:r w:rsidR="00636CD4">
        <w:rPr>
          <w:rFonts w:ascii="Palatino Linotype" w:hAnsi="Palatino Linotype"/>
          <w:sz w:val="20"/>
          <w:szCs w:val="20"/>
        </w:rPr>
        <w:t xml:space="preserve"> the calibration error increases</w:t>
      </w:r>
      <w:r w:rsidR="00E45819">
        <w:rPr>
          <w:rFonts w:ascii="Palatino Linotype" w:hAnsi="Palatino Linotype"/>
          <w:sz w:val="20"/>
          <w:szCs w:val="20"/>
        </w:rPr>
        <w:t xml:space="preserve"> </w:t>
      </w:r>
      <w:r w:rsidR="005710DD">
        <w:rPr>
          <w:rFonts w:ascii="Palatino Linotype" w:hAnsi="Palatino Linotype"/>
          <w:sz w:val="20"/>
          <w:szCs w:val="20"/>
        </w:rPr>
        <w:t>and</w:t>
      </w:r>
      <w:r w:rsidR="00E45819">
        <w:rPr>
          <w:rFonts w:ascii="Palatino Linotype" w:hAnsi="Palatino Linotype"/>
          <w:sz w:val="20"/>
          <w:szCs w:val="20"/>
        </w:rPr>
        <w:t xml:space="preserve"> the algorithm returns an error as it does not find values </w:t>
      </w:r>
      <w:r w:rsidR="009A5CE0">
        <w:rPr>
          <w:rFonts w:ascii="Palatino Linotype" w:hAnsi="Palatino Linotype"/>
          <w:sz w:val="20"/>
          <w:szCs w:val="20"/>
        </w:rPr>
        <w:t>allow for a smooth calibration</w:t>
      </w:r>
      <w:r w:rsidR="008960EC">
        <w:rPr>
          <w:rFonts w:ascii="Palatino Linotype" w:hAnsi="Palatino Linotype"/>
          <w:sz w:val="20"/>
          <w:szCs w:val="20"/>
        </w:rPr>
        <w:t>.</w:t>
      </w:r>
      <w:r w:rsidR="00636CD4">
        <w:rPr>
          <w:rFonts w:ascii="Palatino Linotype" w:hAnsi="Palatino Linotype"/>
          <w:sz w:val="20"/>
          <w:szCs w:val="20"/>
        </w:rPr>
        <w:t xml:space="preserve"> To cope with this, I have used the alternative method </w:t>
      </w:r>
      <m:oMath>
        <m:r>
          <w:rPr>
            <w:rFonts w:ascii="Cambria Math" w:hAnsi="Cambria Math"/>
            <w:sz w:val="20"/>
            <w:szCs w:val="20"/>
          </w:rPr>
          <m:t>ql.NoLocalVolSurface()</m:t>
        </m:r>
      </m:oMath>
      <w:r w:rsidR="00636CD4">
        <w:rPr>
          <w:rFonts w:ascii="Palatino Linotype" w:hAnsi="Palatino Linotype"/>
          <w:sz w:val="20"/>
          <w:szCs w:val="20"/>
        </w:rPr>
        <w:t xml:space="preserve"> </w:t>
      </w:r>
      <w:r w:rsidR="00687B29">
        <w:rPr>
          <w:rFonts w:ascii="Palatino Linotype" w:hAnsi="Palatino Linotype"/>
          <w:sz w:val="20"/>
          <w:szCs w:val="20"/>
        </w:rPr>
        <w:t xml:space="preserve">which allows </w:t>
      </w:r>
      <w:r w:rsidR="0040695D">
        <w:rPr>
          <w:rFonts w:ascii="Palatino Linotype" w:hAnsi="Palatino Linotype"/>
          <w:sz w:val="20"/>
          <w:szCs w:val="20"/>
        </w:rPr>
        <w:t xml:space="preserve">less rigidity and gives more space </w:t>
      </w:r>
      <w:r w:rsidR="00687B29">
        <w:rPr>
          <w:rFonts w:ascii="Palatino Linotype" w:hAnsi="Palatino Linotype"/>
          <w:sz w:val="20"/>
          <w:szCs w:val="20"/>
        </w:rPr>
        <w:t>for errors with the cost of a non-linear interpolation</w:t>
      </w:r>
      <w:r w:rsidR="00016117">
        <w:rPr>
          <w:rFonts w:ascii="Palatino Linotype" w:hAnsi="Palatino Linotype"/>
          <w:sz w:val="20"/>
          <w:szCs w:val="20"/>
        </w:rPr>
        <w:t xml:space="preserve">, which most likely results in an unrealistic </w:t>
      </w:r>
      <w:r w:rsidR="00DB1CF8">
        <w:rPr>
          <w:rFonts w:ascii="Palatino Linotype" w:hAnsi="Palatino Linotype"/>
          <w:sz w:val="20"/>
          <w:szCs w:val="20"/>
        </w:rPr>
        <w:t>surface</w:t>
      </w:r>
      <w:r w:rsidR="00687B29">
        <w:rPr>
          <w:rFonts w:ascii="Palatino Linotype" w:hAnsi="Palatino Linotype"/>
          <w:sz w:val="20"/>
          <w:szCs w:val="20"/>
        </w:rPr>
        <w:t xml:space="preserve">. </w:t>
      </w:r>
      <w:r w:rsidR="00D9287F">
        <w:rPr>
          <w:rFonts w:ascii="Palatino Linotype" w:hAnsi="Palatino Linotype"/>
          <w:sz w:val="20"/>
          <w:szCs w:val="20"/>
        </w:rPr>
        <w:t xml:space="preserve">We will not use this model for our final </w:t>
      </w:r>
      <w:r w:rsidR="00ED31EF">
        <w:rPr>
          <w:rFonts w:ascii="Palatino Linotype" w:hAnsi="Palatino Linotype"/>
          <w:sz w:val="20"/>
          <w:szCs w:val="20"/>
        </w:rPr>
        <w:t>comparison,</w:t>
      </w:r>
      <w:r w:rsidR="00D9287F">
        <w:rPr>
          <w:rFonts w:ascii="Palatino Linotype" w:hAnsi="Palatino Linotype"/>
          <w:sz w:val="20"/>
          <w:szCs w:val="20"/>
        </w:rPr>
        <w:t xml:space="preserve"> but the results </w:t>
      </w:r>
      <w:r w:rsidR="00C81CE4">
        <w:rPr>
          <w:rFonts w:ascii="Palatino Linotype" w:hAnsi="Palatino Linotype"/>
          <w:sz w:val="20"/>
          <w:szCs w:val="20"/>
        </w:rPr>
        <w:t>are yet important to analyze and discuss</w:t>
      </w:r>
      <w:r w:rsidR="00D9287F">
        <w:rPr>
          <w:rFonts w:ascii="Palatino Linotype" w:hAnsi="Palatino Linotype"/>
          <w:sz w:val="20"/>
          <w:szCs w:val="20"/>
        </w:rPr>
        <w:t>.</w:t>
      </w:r>
    </w:p>
    <w:p w14:paraId="3CECCDF3" w14:textId="63A5C894" w:rsidR="00D9287F" w:rsidRDefault="00D9287F" w:rsidP="006127CA">
      <w:pPr>
        <w:spacing w:line="360" w:lineRule="auto"/>
        <w:jc w:val="both"/>
        <w:rPr>
          <w:rFonts w:ascii="Palatino Linotype" w:hAnsi="Palatino Linotype"/>
          <w:sz w:val="20"/>
          <w:szCs w:val="20"/>
        </w:rPr>
      </w:pPr>
    </w:p>
    <w:p w14:paraId="6A0CC5C8" w14:textId="65BA5B65" w:rsidR="00D9287F" w:rsidRDefault="00D9287F" w:rsidP="006127CA">
      <w:pPr>
        <w:spacing w:line="360" w:lineRule="auto"/>
        <w:jc w:val="both"/>
        <w:rPr>
          <w:rFonts w:ascii="Palatino Linotype" w:hAnsi="Palatino Linotype"/>
          <w:sz w:val="20"/>
          <w:szCs w:val="20"/>
        </w:rPr>
      </w:pPr>
      <w:r>
        <w:rPr>
          <w:rFonts w:ascii="Palatino Linotype" w:hAnsi="Palatino Linotype"/>
          <w:sz w:val="20"/>
          <w:szCs w:val="20"/>
        </w:rPr>
        <w:t>FIGURE(Local Volatility Surface)</w:t>
      </w:r>
    </w:p>
    <w:p w14:paraId="395129F4" w14:textId="79C33D92" w:rsidR="00D9287F" w:rsidRDefault="00D9287F" w:rsidP="006127CA">
      <w:pPr>
        <w:spacing w:line="360" w:lineRule="auto"/>
        <w:jc w:val="both"/>
        <w:rPr>
          <w:rFonts w:ascii="Palatino Linotype" w:hAnsi="Palatino Linotype"/>
          <w:sz w:val="20"/>
          <w:szCs w:val="20"/>
        </w:rPr>
      </w:pPr>
    </w:p>
    <w:p w14:paraId="521DF243" w14:textId="02352368" w:rsidR="00D9287F" w:rsidRPr="008960EC" w:rsidRDefault="00ED31EF" w:rsidP="006127CA">
      <w:pPr>
        <w:spacing w:line="360" w:lineRule="auto"/>
        <w:jc w:val="both"/>
        <w:rPr>
          <w:rFonts w:ascii="Palatino Linotype" w:hAnsi="Palatino Linotype"/>
          <w:sz w:val="20"/>
          <w:szCs w:val="20"/>
        </w:rPr>
      </w:pPr>
      <w:r>
        <w:rPr>
          <w:rFonts w:ascii="Palatino Linotype" w:hAnsi="Palatino Linotype"/>
          <w:sz w:val="20"/>
          <w:szCs w:val="20"/>
        </w:rPr>
        <w:lastRenderedPageBreak/>
        <w:t>Surprisingly, the model does its best job at fitting the data</w:t>
      </w:r>
      <w:r w:rsidR="00EC3B7D">
        <w:rPr>
          <w:rFonts w:ascii="Palatino Linotype" w:hAnsi="Palatino Linotype"/>
          <w:sz w:val="20"/>
          <w:szCs w:val="20"/>
        </w:rPr>
        <w:t xml:space="preserve"> and in most cases, it performs fine</w:t>
      </w:r>
      <w:r>
        <w:rPr>
          <w:rFonts w:ascii="Palatino Linotype" w:hAnsi="Palatino Linotype"/>
          <w:sz w:val="20"/>
          <w:szCs w:val="20"/>
        </w:rPr>
        <w:t xml:space="preserve">, but this comes at a cost. Spikes are present </w:t>
      </w:r>
      <w:r w:rsidR="000C1CB5">
        <w:rPr>
          <w:rFonts w:ascii="Palatino Linotype" w:hAnsi="Palatino Linotype"/>
          <w:sz w:val="20"/>
          <w:szCs w:val="20"/>
        </w:rPr>
        <w:t>on the entire fit</w:t>
      </w:r>
      <w:r>
        <w:rPr>
          <w:rFonts w:ascii="Palatino Linotype" w:hAnsi="Palatino Linotype"/>
          <w:sz w:val="20"/>
          <w:szCs w:val="20"/>
        </w:rPr>
        <w:t xml:space="preserve"> and the ‘smile’ </w:t>
      </w:r>
      <w:r w:rsidR="000C1CB5">
        <w:rPr>
          <w:rFonts w:ascii="Palatino Linotype" w:hAnsi="Palatino Linotype"/>
          <w:sz w:val="20"/>
          <w:szCs w:val="20"/>
        </w:rPr>
        <w:t xml:space="preserve">output </w:t>
      </w:r>
      <w:r>
        <w:rPr>
          <w:rFonts w:ascii="Palatino Linotype" w:hAnsi="Palatino Linotype"/>
          <w:sz w:val="20"/>
          <w:szCs w:val="20"/>
        </w:rPr>
        <w:t>is completely unrealistic</w:t>
      </w:r>
      <w:r w:rsidR="00EC3B7D">
        <w:rPr>
          <w:rFonts w:ascii="Palatino Linotype" w:hAnsi="Palatino Linotype"/>
          <w:sz w:val="20"/>
          <w:szCs w:val="20"/>
        </w:rPr>
        <w:t xml:space="preserve">, leaving us with a model that cannot be used for </w:t>
      </w:r>
      <w:r w:rsidR="003F2ACA">
        <w:rPr>
          <w:rFonts w:ascii="Palatino Linotype" w:hAnsi="Palatino Linotype"/>
          <w:sz w:val="20"/>
          <w:szCs w:val="20"/>
        </w:rPr>
        <w:t>any serious</w:t>
      </w:r>
      <w:r w:rsidR="00EC3B7D">
        <w:rPr>
          <w:rFonts w:ascii="Palatino Linotype" w:hAnsi="Palatino Linotype"/>
          <w:sz w:val="20"/>
          <w:szCs w:val="20"/>
        </w:rPr>
        <w:t xml:space="preserve"> </w:t>
      </w:r>
      <w:r w:rsidR="003F2ACA">
        <w:rPr>
          <w:rFonts w:ascii="Palatino Linotype" w:hAnsi="Palatino Linotype"/>
          <w:sz w:val="20"/>
          <w:szCs w:val="20"/>
        </w:rPr>
        <w:t>setting</w:t>
      </w:r>
      <w:r w:rsidR="00EC3B7D">
        <w:rPr>
          <w:rFonts w:ascii="Palatino Linotype" w:hAnsi="Palatino Linotype"/>
          <w:sz w:val="20"/>
          <w:szCs w:val="20"/>
        </w:rPr>
        <w:t xml:space="preserve">. The area requires </w:t>
      </w:r>
      <w:r w:rsidR="00E66225">
        <w:rPr>
          <w:rFonts w:ascii="Palatino Linotype" w:hAnsi="Palatino Linotype"/>
          <w:sz w:val="20"/>
          <w:szCs w:val="20"/>
        </w:rPr>
        <w:t>in-depth research</w:t>
      </w:r>
      <w:r w:rsidR="00EC3B7D">
        <w:rPr>
          <w:rFonts w:ascii="Palatino Linotype" w:hAnsi="Palatino Linotype"/>
          <w:sz w:val="20"/>
          <w:szCs w:val="20"/>
        </w:rPr>
        <w:t xml:space="preserve"> that could shed a light on how to use </w:t>
      </w:r>
      <w:r w:rsidR="00665AD4">
        <w:rPr>
          <w:rFonts w:ascii="Palatino Linotype" w:hAnsi="Palatino Linotype"/>
          <w:sz w:val="20"/>
          <w:szCs w:val="20"/>
        </w:rPr>
        <w:t>a more efficient smoothing technique</w:t>
      </w:r>
      <w:r w:rsidR="00E66225">
        <w:rPr>
          <w:rFonts w:ascii="Palatino Linotype" w:hAnsi="Palatino Linotype"/>
          <w:sz w:val="20"/>
          <w:szCs w:val="20"/>
        </w:rPr>
        <w:t xml:space="preserve"> or to construct a more functional algorithm in QuantLib.</w:t>
      </w:r>
    </w:p>
    <w:p w14:paraId="2AC3BEB2" w14:textId="41C83C4D" w:rsidR="00EC56C9" w:rsidRPr="004155C3" w:rsidRDefault="00EC56C9" w:rsidP="006127CA">
      <w:pPr>
        <w:pStyle w:val="Heading3"/>
        <w:spacing w:line="360" w:lineRule="auto"/>
      </w:pPr>
      <w:r w:rsidRPr="004155C3">
        <w:t>Heston Model</w:t>
      </w:r>
    </w:p>
    <w:p w14:paraId="690443D7" w14:textId="72933AB1" w:rsidR="0059699F" w:rsidRDefault="00F568EA" w:rsidP="006127CA">
      <w:pPr>
        <w:spacing w:line="360" w:lineRule="auto"/>
        <w:jc w:val="both"/>
        <w:rPr>
          <w:rFonts w:ascii="Palatino Linotype" w:hAnsi="Palatino Linotype"/>
          <w:sz w:val="20"/>
          <w:szCs w:val="20"/>
          <w:lang w:val="it-IT"/>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Pr>
          <w:rFonts w:ascii="Palatino Linotype" w:hAnsi="Palatino Linotype"/>
          <w:sz w:val="20"/>
          <w:szCs w:val="20"/>
        </w:rPr>
        <w:t xml:space="preserve"> and use the Levenberg-Marquardt algorithm for minimizing the objective function</w:t>
      </w:r>
      <w:r w:rsidR="00EB44C5">
        <w:rPr>
          <w:rFonts w:ascii="Palatino Linotype" w:hAnsi="Palatino Linotype"/>
          <w:sz w:val="20"/>
          <w:szCs w:val="20"/>
        </w:rPr>
        <w:t xml:space="preserve">. </w:t>
      </w:r>
      <w:r w:rsidR="00DF19B7">
        <w:rPr>
          <w:rFonts w:ascii="Palatino Linotype" w:hAnsi="Palatino Linotype"/>
          <w:sz w:val="20"/>
          <w:szCs w:val="20"/>
        </w:rPr>
        <w:t>Since this</w:t>
      </w:r>
      <w:r>
        <w:rPr>
          <w:rFonts w:ascii="Palatino Linotype" w:hAnsi="Palatino Linotype"/>
          <w:sz w:val="20"/>
          <w:szCs w:val="20"/>
        </w:rPr>
        <w:t xml:space="preserve"> is generally advised</w:t>
      </w:r>
      <w:r w:rsidR="00EB44C5">
        <w:rPr>
          <w:rFonts w:ascii="Palatino Linotype" w:hAnsi="Palatino Linotype"/>
          <w:sz w:val="20"/>
          <w:szCs w:val="20"/>
        </w:rPr>
        <w:t xml:space="preserve"> by professionals for fast</w:t>
      </w:r>
      <w:r w:rsidR="00FE54BF">
        <w:rPr>
          <w:rFonts w:ascii="Palatino Linotype" w:hAnsi="Palatino Linotype"/>
          <w:sz w:val="20"/>
          <w:szCs w:val="20"/>
        </w:rPr>
        <w:t>er</w:t>
      </w:r>
      <w:r w:rsidR="00EB44C5">
        <w:rPr>
          <w:rFonts w:ascii="Palatino Linotype" w:hAnsi="Palatino Linotype"/>
          <w:sz w:val="20"/>
          <w:szCs w:val="20"/>
        </w:rPr>
        <w:t xml:space="preserve"> and</w:t>
      </w:r>
      <w:r w:rsidR="00DC5C0A">
        <w:rPr>
          <w:rFonts w:ascii="Palatino Linotype" w:hAnsi="Palatino Linotype"/>
          <w:sz w:val="20"/>
          <w:szCs w:val="20"/>
        </w:rPr>
        <w:t>, in most cases,</w:t>
      </w:r>
      <w:r w:rsidR="00EB44C5">
        <w:rPr>
          <w:rFonts w:ascii="Palatino Linotype" w:hAnsi="Palatino Linotype"/>
          <w:sz w:val="20"/>
          <w:szCs w:val="20"/>
        </w:rPr>
        <w:t xml:space="preserve"> </w:t>
      </w:r>
      <w:r w:rsidR="008554FA">
        <w:rPr>
          <w:rFonts w:ascii="Palatino Linotype" w:hAnsi="Palatino Linotype"/>
          <w:sz w:val="20"/>
          <w:szCs w:val="20"/>
        </w:rPr>
        <w:t>accurate</w:t>
      </w:r>
      <w:r w:rsidR="00EB44C5">
        <w:rPr>
          <w:rFonts w:ascii="Palatino Linotype" w:hAnsi="Palatino Linotype"/>
          <w:sz w:val="20"/>
          <w:szCs w:val="20"/>
        </w:rPr>
        <w:t xml:space="preserve"> calculations [see Cui, Rollin, </w:t>
      </w:r>
      <w:proofErr w:type="spellStart"/>
      <w:r w:rsidR="00EB44C5">
        <w:rPr>
          <w:rFonts w:ascii="Palatino Linotype" w:hAnsi="Palatino Linotype"/>
          <w:sz w:val="20"/>
          <w:szCs w:val="20"/>
        </w:rPr>
        <w:t>Germano</w:t>
      </w:r>
      <w:proofErr w:type="spellEnd"/>
      <w:r w:rsidR="00EB44C5">
        <w:rPr>
          <w:rFonts w:ascii="Palatino Linotype" w:hAnsi="Palatino Linotype"/>
          <w:sz w:val="20"/>
          <w:szCs w:val="20"/>
        </w:rPr>
        <w:t>, 2016],</w:t>
      </w:r>
      <w:r>
        <w:rPr>
          <w:rFonts w:ascii="Palatino Linotype" w:hAnsi="Palatino Linotype"/>
          <w:sz w:val="20"/>
          <w:szCs w:val="20"/>
        </w:rPr>
        <w:t xml:space="preserve"> QuantLib </w:t>
      </w:r>
      <w:r w:rsidR="001A20FF">
        <w:rPr>
          <w:rFonts w:ascii="Palatino Linotype" w:hAnsi="Palatino Linotype"/>
          <w:sz w:val="20"/>
          <w:szCs w:val="20"/>
        </w:rPr>
        <w:t>uses th</w:t>
      </w:r>
      <w:r w:rsidR="00C04BC8">
        <w:rPr>
          <w:rFonts w:ascii="Palatino Linotype" w:hAnsi="Palatino Linotype"/>
          <w:sz w:val="20"/>
          <w:szCs w:val="20"/>
        </w:rPr>
        <w:t>is</w:t>
      </w:r>
      <w:r w:rsidR="001A20FF">
        <w:rPr>
          <w:rFonts w:ascii="Palatino Linotype" w:hAnsi="Palatino Linotype"/>
          <w:sz w:val="20"/>
          <w:szCs w:val="20"/>
        </w:rPr>
        <w:t xml:space="preserve"> method by default</w:t>
      </w:r>
      <w:r>
        <w:rPr>
          <w:rFonts w:ascii="Palatino Linotype" w:hAnsi="Palatino Linotype"/>
          <w:sz w:val="20"/>
          <w:szCs w:val="20"/>
        </w:rPr>
        <w:t xml:space="preserve"> </w:t>
      </w:r>
      <w:r w:rsidR="00EC5870">
        <w:rPr>
          <w:rFonts w:ascii="Palatino Linotype" w:hAnsi="Palatino Linotype"/>
          <w:sz w:val="20"/>
          <w:szCs w:val="20"/>
        </w:rPr>
        <w:t xml:space="preserve">in </w:t>
      </w:r>
      <w:r w:rsidR="00257193">
        <w:rPr>
          <w:rFonts w:ascii="Palatino Linotype" w:hAnsi="Palatino Linotype"/>
          <w:sz w:val="20"/>
          <w:szCs w:val="20"/>
        </w:rPr>
        <w:t>its</w:t>
      </w:r>
      <w:r w:rsidR="00EC5870">
        <w:rPr>
          <w:rFonts w:ascii="Palatino Linotype" w:hAnsi="Palatino Linotype"/>
          <w:sz w:val="20"/>
          <w:szCs w:val="20"/>
        </w:rPr>
        <w:t xml:space="preserve"> </w:t>
      </w:r>
      <m:oMath>
        <m:r>
          <w:rPr>
            <w:rFonts w:ascii="Cambria Math" w:hAnsi="Cambria Math"/>
            <w:sz w:val="20"/>
            <w:szCs w:val="20"/>
          </w:rPr>
          <m:t>ql.HestonProcess</m:t>
        </m:r>
      </m:oMath>
      <w:r w:rsidR="005D1736">
        <w:rPr>
          <w:rFonts w:ascii="Palatino Linotype" w:hAnsi="Palatino Linotype"/>
          <w:sz w:val="20"/>
          <w:szCs w:val="20"/>
        </w:rPr>
        <w:t xml:space="preserve"> </w:t>
      </w:r>
      <w:r w:rsidR="00EC5870">
        <w:rPr>
          <w:rFonts w:ascii="Palatino Linotype" w:hAnsi="Palatino Linotype"/>
          <w:sz w:val="20"/>
          <w:szCs w:val="20"/>
        </w:rPr>
        <w:t>module</w:t>
      </w:r>
      <w:r>
        <w:rPr>
          <w:rFonts w:ascii="Palatino Linotype" w:hAnsi="Palatino Linotype"/>
          <w:sz w:val="20"/>
          <w:szCs w:val="20"/>
        </w:rPr>
        <w:t>.</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the previous chapter, </w:t>
      </w:r>
      <w:r w:rsidR="00EE287D">
        <w:rPr>
          <w:rFonts w:ascii="Palatino Linotype" w:hAnsi="Palatino Linotype"/>
          <w:sz w:val="20"/>
          <w:szCs w:val="20"/>
        </w:rPr>
        <w:t>the process</w:t>
      </w:r>
      <w:r w:rsidR="00B1732B">
        <w:rPr>
          <w:rFonts w:ascii="Palatino Linotype" w:hAnsi="Palatino Linotype"/>
          <w:sz w:val="20"/>
          <w:szCs w:val="20"/>
        </w:rPr>
        <w:t xml:space="preserve"> consists in minimizing the difference between model price and market price. </w:t>
      </w:r>
      <w:r w:rsidR="00521383">
        <w:rPr>
          <w:rFonts w:ascii="Palatino Linotype" w:hAnsi="Palatino Linotype"/>
          <w:sz w:val="20"/>
          <w:szCs w:val="20"/>
        </w:rPr>
        <w:t>In order to assess how the algorithm works 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w:t>
      </w:r>
      <w:r w:rsidR="00BF66DD">
        <w:rPr>
          <w:rFonts w:ascii="Palatino Linotype" w:hAnsi="Palatino Linotype"/>
          <w:sz w:val="20"/>
          <w:szCs w:val="20"/>
        </w:rPr>
        <w:t xml:space="preserve">.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w:t>
      </w:r>
      <w:r w:rsidR="00FA64C9">
        <w:rPr>
          <w:rFonts w:ascii="Palatino Linotype" w:hAnsi="Palatino Linotype"/>
          <w:sz w:val="20"/>
          <w:szCs w:val="20"/>
        </w:rPr>
        <w:t>runs</w:t>
      </w:r>
      <w:r w:rsidR="00B1732B">
        <w:rPr>
          <w:rFonts w:ascii="Palatino Linotype" w:hAnsi="Palatino Linotype"/>
          <w:sz w:val="20"/>
          <w:szCs w:val="20"/>
        </w:rPr>
        <w:t xml:space="preserve"> are </w:t>
      </w:r>
      <w:r w:rsidR="004125C7">
        <w:rPr>
          <w:rFonts w:ascii="Palatino Linotype" w:hAnsi="Palatino Linotype"/>
          <w:sz w:val="20"/>
          <w:szCs w:val="20"/>
        </w:rPr>
        <w:t>shown here</w:t>
      </w:r>
      <w:r w:rsidR="00B1732B">
        <w:rPr>
          <w:rFonts w:ascii="Palatino Linotype" w:hAnsi="Palatino Linotype"/>
          <w:sz w:val="20"/>
          <w:szCs w:val="20"/>
        </w:rPr>
        <w:t>:</w:t>
      </w:r>
    </w:p>
    <w:p w14:paraId="43B788A3" w14:textId="6F86A431" w:rsidR="0059699F" w:rsidRDefault="0059699F" w:rsidP="006127CA">
      <w:pPr>
        <w:spacing w:line="360" w:lineRule="auto"/>
        <w:jc w:val="both"/>
        <w:rPr>
          <w:rFonts w:ascii="Palatino Linotype" w:hAnsi="Palatino Linotype"/>
          <w:sz w:val="20"/>
          <w:szCs w:val="20"/>
          <w:lang w:val="it-IT"/>
        </w:rPr>
      </w:pPr>
    </w:p>
    <w:p w14:paraId="1B55EBA2" w14:textId="0D2BDEC3" w:rsidR="0059699F" w:rsidRPr="00710B49" w:rsidRDefault="0059699F" w:rsidP="006127CA">
      <w:pPr>
        <w:spacing w:line="360" w:lineRule="auto"/>
        <w:jc w:val="both"/>
        <w:rPr>
          <w:rFonts w:ascii="Palatino Linotype" w:hAnsi="Palatino Linotype"/>
          <w:sz w:val="20"/>
          <w:szCs w:val="20"/>
        </w:rPr>
      </w:pPr>
      <w:r w:rsidRPr="00710B49">
        <w:rPr>
          <w:rFonts w:ascii="Palatino Linotype" w:hAnsi="Palatino Linotype"/>
          <w:sz w:val="20"/>
          <w:szCs w:val="20"/>
        </w:rPr>
        <w:t>FIGURE(</w:t>
      </w:r>
      <w:r w:rsidR="004D63EE" w:rsidRPr="00710B49">
        <w:rPr>
          <w:rFonts w:ascii="Palatino Linotype" w:hAnsi="Palatino Linotype"/>
          <w:sz w:val="20"/>
          <w:szCs w:val="20"/>
        </w:rPr>
        <w:t>Heston</w:t>
      </w:r>
      <w:r w:rsidRPr="00710B49">
        <w:rPr>
          <w:rFonts w:ascii="Palatino Linotype" w:hAnsi="Palatino Linotype"/>
          <w:sz w:val="20"/>
          <w:szCs w:val="20"/>
        </w:rPr>
        <w:t xml:space="preserve"> model initial conditions)</w:t>
      </w:r>
    </w:p>
    <w:p w14:paraId="238ACD1B" w14:textId="4BB6793C" w:rsidR="00A63DCA" w:rsidRDefault="00A63DCA" w:rsidP="006127CA">
      <w:pPr>
        <w:spacing w:line="360" w:lineRule="auto"/>
        <w:jc w:val="both"/>
        <w:rPr>
          <w:rFonts w:ascii="Palatino Linotype" w:hAnsi="Palatino Linotype"/>
          <w:sz w:val="20"/>
          <w:szCs w:val="20"/>
        </w:rPr>
      </w:pPr>
    </w:p>
    <w:p w14:paraId="175A1AAA" w14:textId="3AD54A29" w:rsidR="00EC56C9" w:rsidRDefault="006E7340" w:rsidP="006127CA">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w:t>
      </w:r>
      <w:r w:rsidR="006F3D25">
        <w:rPr>
          <w:rFonts w:ascii="Palatino Linotype" w:hAnsi="Palatino Linotype"/>
          <w:sz w:val="20"/>
          <w:szCs w:val="20"/>
        </w:rPr>
        <w:t>s</w:t>
      </w:r>
      <w:r w:rsidR="00D57E6B">
        <w:rPr>
          <w:rFonts w:ascii="Palatino Linotype" w:hAnsi="Palatino Linotype"/>
          <w:sz w:val="20"/>
          <w:szCs w:val="20"/>
        </w:rPr>
        <w:t xml:space="preserve"> as well as final parameters assigned through the calibration</w:t>
      </w:r>
      <w:r>
        <w:rPr>
          <w:rFonts w:ascii="Palatino Linotype" w:hAnsi="Palatino Linotype"/>
          <w:sz w:val="20"/>
          <w:szCs w:val="20"/>
        </w:rPr>
        <w:t>.</w:t>
      </w:r>
    </w:p>
    <w:p w14:paraId="59E8DA04" w14:textId="77777777" w:rsidR="00C83CD8" w:rsidRDefault="00C83CD8" w:rsidP="006127CA">
      <w:pPr>
        <w:spacing w:line="360" w:lineRule="auto"/>
        <w:jc w:val="both"/>
        <w:rPr>
          <w:rFonts w:ascii="Palatino Linotype" w:hAnsi="Palatino Linotype"/>
          <w:sz w:val="20"/>
          <w:szCs w:val="20"/>
        </w:rPr>
      </w:pPr>
    </w:p>
    <w:p w14:paraId="75E9A5D7" w14:textId="02C0E6C7" w:rsidR="00C83CD8" w:rsidRDefault="00C83CD8" w:rsidP="006127CA">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6127CA">
      <w:pPr>
        <w:spacing w:line="360" w:lineRule="auto"/>
        <w:jc w:val="both"/>
        <w:rPr>
          <w:rFonts w:ascii="Palatino Linotype" w:hAnsi="Palatino Linotype"/>
          <w:sz w:val="20"/>
          <w:szCs w:val="20"/>
        </w:rPr>
      </w:pPr>
    </w:p>
    <w:p w14:paraId="05164B18" w14:textId="4CDC908F" w:rsidR="00844EAD" w:rsidRDefault="00710B49" w:rsidP="006127CA">
      <w:pPr>
        <w:spacing w:line="360" w:lineRule="auto"/>
        <w:jc w:val="both"/>
        <w:rPr>
          <w:rFonts w:ascii="Palatino Linotype" w:hAnsi="Palatino Linotype"/>
          <w:sz w:val="20"/>
          <w:szCs w:val="20"/>
        </w:rPr>
      </w:pPr>
      <w:r>
        <w:rPr>
          <w:rFonts w:ascii="Palatino Linotype" w:hAnsi="Palatino Linotype"/>
          <w:sz w:val="20"/>
          <w:szCs w:val="20"/>
        </w:rPr>
        <w:t>Clearly</w:t>
      </w:r>
      <w:r w:rsidR="00D74897">
        <w:rPr>
          <w:rFonts w:ascii="Palatino Linotype" w:hAnsi="Palatino Linotype"/>
          <w:sz w:val="20"/>
          <w:szCs w:val="20"/>
        </w:rPr>
        <w:t xml:space="preserve">, </w:t>
      </w:r>
      <w:r w:rsidR="00CD1E23">
        <w:rPr>
          <w:rFonts w:ascii="Palatino Linotype" w:hAnsi="Palatino Linotype"/>
          <w:sz w:val="20"/>
          <w:szCs w:val="20"/>
        </w:rPr>
        <w:t>in most cases</w:t>
      </w:r>
      <w:r w:rsidR="00B160AC">
        <w:rPr>
          <w:rFonts w:ascii="Palatino Linotype" w:hAnsi="Palatino Linotype"/>
          <w:sz w:val="20"/>
          <w:szCs w:val="20"/>
        </w:rPr>
        <w:t xml:space="preserve"> the first model is more accurate as the relative error behaves </w:t>
      </w:r>
      <w:r w:rsidR="00EE49D1">
        <w:rPr>
          <w:rFonts w:ascii="Palatino Linotype" w:hAnsi="Palatino Linotype"/>
          <w:sz w:val="20"/>
          <w:szCs w:val="20"/>
        </w:rPr>
        <w:t>more accurately</w:t>
      </w:r>
      <w:r w:rsidR="00B160AC">
        <w:rPr>
          <w:rFonts w:ascii="Palatino Linotype" w:hAnsi="Palatino Linotype"/>
          <w:sz w:val="20"/>
          <w:szCs w:val="20"/>
        </w:rPr>
        <w:t xml:space="preserve"> with respect to the second model. </w:t>
      </w:r>
      <w:r w:rsidR="00FB637F">
        <w:rPr>
          <w:rFonts w:ascii="Palatino Linotype" w:hAnsi="Palatino Linotype"/>
          <w:sz w:val="20"/>
          <w:szCs w:val="20"/>
        </w:rPr>
        <w:t>In particular, the first model</w:t>
      </w:r>
      <w:r w:rsidR="00A45DEF">
        <w:rPr>
          <w:rFonts w:ascii="Palatino Linotype" w:hAnsi="Palatino Linotype"/>
          <w:sz w:val="20"/>
          <w:szCs w:val="20"/>
        </w:rPr>
        <w:t xml:space="preserve"> fits </w:t>
      </w:r>
      <w:r w:rsidR="00CB7CEE">
        <w:rPr>
          <w:rFonts w:ascii="Palatino Linotype" w:hAnsi="Palatino Linotype"/>
          <w:sz w:val="20"/>
          <w:szCs w:val="20"/>
        </w:rPr>
        <w:t>best</w:t>
      </w:r>
      <w:r w:rsidR="00A45DEF">
        <w:rPr>
          <w:rFonts w:ascii="Palatino Linotype" w:hAnsi="Palatino Linotype"/>
          <w:sz w:val="20"/>
          <w:szCs w:val="20"/>
        </w:rPr>
        <w:t xml:space="preserve"> especially with longer tenors. </w:t>
      </w:r>
      <w:r w:rsidR="007130A0">
        <w:rPr>
          <w:rFonts w:ascii="Palatino Linotype" w:hAnsi="Palatino Linotype"/>
          <w:sz w:val="20"/>
          <w:szCs w:val="20"/>
        </w:rPr>
        <w:t>With Coffee, we have tried calibrating with different parameters multiple times, with the output only changing slightly and not enough for a notice</w:t>
      </w:r>
      <w:r w:rsidR="00C56793">
        <w:rPr>
          <w:rFonts w:ascii="Palatino Linotype" w:hAnsi="Palatino Linotype"/>
          <w:sz w:val="20"/>
          <w:szCs w:val="20"/>
        </w:rPr>
        <w:t>, which means there are fewer solutions to the calibration process</w:t>
      </w:r>
      <w:r w:rsidR="002764C4">
        <w:rPr>
          <w:rFonts w:ascii="Palatino Linotype" w:hAnsi="Palatino Linotype"/>
          <w:sz w:val="20"/>
          <w:szCs w:val="20"/>
        </w:rPr>
        <w:t xml:space="preserve"> and any initial condition will lead to the same </w:t>
      </w:r>
      <w:r w:rsidR="00511B91">
        <w:rPr>
          <w:rFonts w:ascii="Palatino Linotype" w:hAnsi="Palatino Linotype"/>
          <w:sz w:val="20"/>
          <w:szCs w:val="20"/>
        </w:rPr>
        <w:t>result</w:t>
      </w:r>
      <w:r w:rsidR="00C56793">
        <w:rPr>
          <w:rFonts w:ascii="Palatino Linotype" w:hAnsi="Palatino Linotype"/>
          <w:sz w:val="20"/>
          <w:szCs w:val="20"/>
        </w:rPr>
        <w:t>.</w:t>
      </w:r>
      <w:r w:rsidR="007130A0">
        <w:rPr>
          <w:rFonts w:ascii="Palatino Linotype" w:hAnsi="Palatino Linotype"/>
          <w:sz w:val="20"/>
          <w:szCs w:val="20"/>
        </w:rPr>
        <w:t xml:space="preserve"> </w:t>
      </w:r>
      <w:r w:rsidR="007E244C">
        <w:rPr>
          <w:rFonts w:ascii="Palatino Linotype" w:hAnsi="Palatino Linotype"/>
          <w:sz w:val="20"/>
          <w:szCs w:val="20"/>
        </w:rPr>
        <w:t>The relative errors plot</w:t>
      </w:r>
      <w:r w:rsidR="0047692E">
        <w:rPr>
          <w:rFonts w:ascii="Palatino Linotype" w:hAnsi="Palatino Linotype"/>
          <w:sz w:val="20"/>
          <w:szCs w:val="20"/>
        </w:rPr>
        <w:t>s</w:t>
      </w:r>
      <w:r w:rsidR="007E244C">
        <w:rPr>
          <w:rFonts w:ascii="Palatino Linotype" w:hAnsi="Palatino Linotype"/>
          <w:sz w:val="20"/>
          <w:szCs w:val="20"/>
        </w:rPr>
        <w:t xml:space="preserve"> show that where Model 1 is bound near zero, Model 2 presents more errors with change in moneyness</w:t>
      </w:r>
      <w:r w:rsidR="00C23C73">
        <w:rPr>
          <w:rFonts w:ascii="Palatino Linotype" w:hAnsi="Palatino Linotype"/>
          <w:sz w:val="20"/>
          <w:szCs w:val="20"/>
        </w:rPr>
        <w:t xml:space="preserve">. </w:t>
      </w:r>
      <w:r w:rsidR="0047692E">
        <w:rPr>
          <w:rFonts w:ascii="Palatino Linotype" w:hAnsi="Palatino Linotype"/>
          <w:sz w:val="20"/>
          <w:szCs w:val="20"/>
        </w:rPr>
        <w:t xml:space="preserve">Remembering that the Heston model is calibrated on option prices - and not on </w:t>
      </w:r>
      <w:r w:rsidR="00A07231">
        <w:rPr>
          <w:rFonts w:ascii="Palatino Linotype" w:hAnsi="Palatino Linotype"/>
          <w:sz w:val="20"/>
          <w:szCs w:val="20"/>
        </w:rPr>
        <w:t xml:space="preserve">the </w:t>
      </w:r>
      <w:r w:rsidR="0047692E">
        <w:rPr>
          <w:rFonts w:ascii="Palatino Linotype" w:hAnsi="Palatino Linotype"/>
          <w:sz w:val="20"/>
          <w:szCs w:val="20"/>
        </w:rPr>
        <w:t>volatility</w:t>
      </w:r>
      <w:r w:rsidR="00485E66">
        <w:rPr>
          <w:rFonts w:ascii="Palatino Linotype" w:hAnsi="Palatino Linotype"/>
          <w:sz w:val="20"/>
          <w:szCs w:val="20"/>
        </w:rPr>
        <w:t xml:space="preserve"> </w:t>
      </w:r>
      <w:r w:rsidR="00FE4EAC">
        <w:rPr>
          <w:rFonts w:ascii="Palatino Linotype" w:hAnsi="Palatino Linotype"/>
          <w:sz w:val="20"/>
          <w:szCs w:val="20"/>
        </w:rPr>
        <w:t>R</w:t>
      </w:r>
      <w:r w:rsidR="00485E66">
        <w:rPr>
          <w:rFonts w:ascii="Palatino Linotype" w:hAnsi="Palatino Linotype"/>
          <w:sz w:val="20"/>
          <w:szCs w:val="20"/>
        </w:rPr>
        <w:t>MSE</w:t>
      </w:r>
      <w:r w:rsidR="0047692E">
        <w:rPr>
          <w:rFonts w:ascii="Palatino Linotype" w:hAnsi="Palatino Linotype"/>
          <w:sz w:val="20"/>
          <w:szCs w:val="20"/>
        </w:rPr>
        <w:t xml:space="preserve"> as it is with SABR -</w:t>
      </w:r>
      <w:r w:rsidR="000714CD">
        <w:rPr>
          <w:rFonts w:ascii="Palatino Linotype" w:hAnsi="Palatino Linotype"/>
          <w:sz w:val="20"/>
          <w:szCs w:val="20"/>
        </w:rPr>
        <w:t xml:space="preserve"> we can see that model value</w:t>
      </w:r>
      <w:r w:rsidR="0047692E">
        <w:rPr>
          <w:rFonts w:ascii="Palatino Linotype" w:hAnsi="Palatino Linotype"/>
          <w:sz w:val="20"/>
          <w:szCs w:val="20"/>
        </w:rPr>
        <w:t>s</w:t>
      </w:r>
      <w:r w:rsidR="000714CD">
        <w:rPr>
          <w:rFonts w:ascii="Palatino Linotype" w:hAnsi="Palatino Linotype"/>
          <w:sz w:val="20"/>
          <w:szCs w:val="20"/>
        </w:rPr>
        <w:t xml:space="preserve"> and market value</w:t>
      </w:r>
      <w:r w:rsidR="0047692E">
        <w:rPr>
          <w:rFonts w:ascii="Palatino Linotype" w:hAnsi="Palatino Linotype"/>
          <w:sz w:val="20"/>
          <w:szCs w:val="20"/>
        </w:rPr>
        <w:t>s</w:t>
      </w:r>
      <w:r w:rsidR="000714CD">
        <w:rPr>
          <w:rFonts w:ascii="Palatino Linotype" w:hAnsi="Palatino Linotype"/>
          <w:sz w:val="20"/>
          <w:szCs w:val="20"/>
        </w:rPr>
        <w:t xml:space="preserve"> for Model 1 </w:t>
      </w:r>
      <w:r w:rsidR="0047692E">
        <w:rPr>
          <w:rFonts w:ascii="Palatino Linotype" w:hAnsi="Palatino Linotype"/>
          <w:sz w:val="20"/>
          <w:szCs w:val="20"/>
        </w:rPr>
        <w:t xml:space="preserve">behave similarly </w:t>
      </w:r>
      <w:r w:rsidR="00017B4A">
        <w:rPr>
          <w:rFonts w:ascii="Palatino Linotype" w:hAnsi="Palatino Linotype"/>
          <w:sz w:val="20"/>
          <w:szCs w:val="20"/>
        </w:rPr>
        <w:t>whilst they</w:t>
      </w:r>
      <w:r w:rsidR="000714CD">
        <w:rPr>
          <w:rFonts w:ascii="Palatino Linotype" w:hAnsi="Palatino Linotype"/>
          <w:sz w:val="20"/>
          <w:szCs w:val="20"/>
        </w:rPr>
        <w:t xml:space="preserve"> do not quite match in Model 2. </w:t>
      </w:r>
      <w:r w:rsidR="00C23C73">
        <w:rPr>
          <w:rFonts w:ascii="Palatino Linotype" w:hAnsi="Palatino Linotype"/>
          <w:sz w:val="20"/>
          <w:szCs w:val="20"/>
        </w:rPr>
        <w:t xml:space="preserve">This is </w:t>
      </w:r>
      <w:r w:rsidR="00755F9A">
        <w:rPr>
          <w:rFonts w:ascii="Palatino Linotype" w:hAnsi="Palatino Linotype"/>
          <w:sz w:val="20"/>
          <w:szCs w:val="20"/>
        </w:rPr>
        <w:t xml:space="preserve">best </w:t>
      </w:r>
      <w:r w:rsidR="00C23C73">
        <w:rPr>
          <w:rFonts w:ascii="Palatino Linotype" w:hAnsi="Palatino Linotype"/>
          <w:sz w:val="20"/>
          <w:szCs w:val="20"/>
        </w:rPr>
        <w:t xml:space="preserve">explained by the average error which totals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=2.39</m:t>
        </m:r>
      </m:oMath>
      <w:r w:rsidR="006A659E">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=11.37</m:t>
        </m:r>
      </m:oMath>
      <w:r w:rsidR="00C23C73">
        <w:rPr>
          <w:rFonts w:ascii="Palatino Linotype" w:hAnsi="Palatino Linotype"/>
          <w:sz w:val="20"/>
          <w:szCs w:val="20"/>
        </w:rPr>
        <w:t xml:space="preserve"> for </w:t>
      </w:r>
      <w:r w:rsidR="006A659E">
        <w:rPr>
          <w:rFonts w:ascii="Palatino Linotype" w:hAnsi="Palatino Linotype"/>
          <w:sz w:val="20"/>
          <w:szCs w:val="20"/>
        </w:rPr>
        <w:t>Silver</w:t>
      </w:r>
      <w:r w:rsidR="00C23C73">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=0.54</m:t>
        </m:r>
      </m:oMath>
      <w:r w:rsidR="0063359E">
        <w:rPr>
          <w:rFonts w:ascii="Palatino Linotype" w:hAnsi="Palatino Linotype"/>
          <w:sz w:val="20"/>
          <w:szCs w:val="20"/>
        </w:rPr>
        <w:t xml:space="preserve"> </w:t>
      </w:r>
      <w:r w:rsidR="00C23C73">
        <w:rPr>
          <w:rFonts w:ascii="Palatino Linotype" w:hAnsi="Palatino Linotype"/>
          <w:sz w:val="20"/>
          <w:szCs w:val="20"/>
        </w:rPr>
        <w:t xml:space="preserve">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=180</m:t>
        </m:r>
      </m:oMath>
      <w:r w:rsidR="00C23C73">
        <w:rPr>
          <w:rFonts w:ascii="Palatino Linotype" w:hAnsi="Palatino Linotype"/>
          <w:sz w:val="20"/>
          <w:szCs w:val="20"/>
        </w:rPr>
        <w:t xml:space="preserve"> for </w:t>
      </w:r>
      <w:r w:rsidR="006E0FBB">
        <w:rPr>
          <w:rFonts w:ascii="Palatino Linotype" w:hAnsi="Palatino Linotype"/>
          <w:sz w:val="20"/>
          <w:szCs w:val="20"/>
        </w:rPr>
        <w:t>Gold</w:t>
      </w:r>
      <w:r w:rsidR="0063359E">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=0.693</m:t>
        </m:r>
      </m:oMath>
      <w:r w:rsidR="0063359E">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=0.692</m:t>
        </m:r>
      </m:oMath>
      <w:r w:rsidR="0063359E">
        <w:rPr>
          <w:rFonts w:ascii="Palatino Linotype" w:hAnsi="Palatino Linotype"/>
          <w:sz w:val="20"/>
          <w:szCs w:val="20"/>
        </w:rPr>
        <w:t xml:space="preserve"> for </w:t>
      </w:r>
      <w:r w:rsidR="006E0FBB">
        <w:rPr>
          <w:rFonts w:ascii="Palatino Linotype" w:hAnsi="Palatino Linotype"/>
          <w:sz w:val="20"/>
          <w:szCs w:val="20"/>
        </w:rPr>
        <w:t>Coffee</w:t>
      </w:r>
      <w:r w:rsidR="007E244C">
        <w:rPr>
          <w:rFonts w:ascii="Palatino Linotype" w:hAnsi="Palatino Linotype"/>
          <w:sz w:val="20"/>
          <w:szCs w:val="20"/>
        </w:rPr>
        <w:t xml:space="preserve">. </w:t>
      </w:r>
      <w:r w:rsidR="00B31F8F">
        <w:rPr>
          <w:rFonts w:ascii="Palatino Linotype" w:hAnsi="Palatino Linotype"/>
          <w:sz w:val="20"/>
          <w:szCs w:val="20"/>
        </w:rPr>
        <w:t xml:space="preserve">As </w:t>
      </w:r>
      <w:r w:rsidR="00E32901">
        <w:rPr>
          <w:rFonts w:ascii="Palatino Linotype" w:hAnsi="Palatino Linotype"/>
          <w:sz w:val="20"/>
          <w:szCs w:val="20"/>
        </w:rPr>
        <w:t>expected,</w:t>
      </w:r>
      <w:r w:rsidR="00B31F8F">
        <w:rPr>
          <w:rFonts w:ascii="Palatino Linotype" w:hAnsi="Palatino Linotype"/>
          <w:sz w:val="20"/>
          <w:szCs w:val="20"/>
        </w:rPr>
        <w:t xml:space="preserve"> the difference is minimal with Coffee</w:t>
      </w:r>
      <w:r w:rsidR="00E32901">
        <w:rPr>
          <w:rFonts w:ascii="Palatino Linotype" w:hAnsi="Palatino Linotype"/>
          <w:sz w:val="20"/>
          <w:szCs w:val="20"/>
        </w:rPr>
        <w:t xml:space="preserve"> data</w:t>
      </w:r>
      <w:r w:rsidR="00B31F8F">
        <w:rPr>
          <w:rFonts w:ascii="Palatino Linotype" w:hAnsi="Palatino Linotype"/>
          <w:sz w:val="20"/>
          <w:szCs w:val="20"/>
        </w:rPr>
        <w:t>.</w:t>
      </w:r>
    </w:p>
    <w:p w14:paraId="24AA78FB" w14:textId="0923F486" w:rsidR="00844EAD" w:rsidRDefault="00844EAD" w:rsidP="006127CA">
      <w:pPr>
        <w:spacing w:line="360" w:lineRule="auto"/>
        <w:jc w:val="both"/>
        <w:rPr>
          <w:rFonts w:ascii="Palatino Linotype" w:hAnsi="Palatino Linotype"/>
          <w:sz w:val="20"/>
          <w:szCs w:val="20"/>
        </w:rPr>
      </w:pPr>
      <w:r>
        <w:rPr>
          <w:rFonts w:ascii="Palatino Linotype" w:hAnsi="Palatino Linotype"/>
          <w:sz w:val="20"/>
          <w:szCs w:val="20"/>
        </w:rPr>
        <w:t xml:space="preserve">Of course, the </w:t>
      </w:r>
      <w:r w:rsidR="001C5EEA">
        <w:rPr>
          <w:rFonts w:ascii="Palatino Linotype" w:hAnsi="Palatino Linotype"/>
          <w:sz w:val="20"/>
          <w:szCs w:val="20"/>
        </w:rPr>
        <w:t xml:space="preserve">selection </w:t>
      </w:r>
      <w:r w:rsidR="00965D52">
        <w:rPr>
          <w:rFonts w:ascii="Palatino Linotype" w:hAnsi="Palatino Linotype"/>
          <w:sz w:val="20"/>
          <w:szCs w:val="20"/>
        </w:rPr>
        <w:t xml:space="preserve">process </w:t>
      </w:r>
      <w:r w:rsidR="001C5EEA">
        <w:rPr>
          <w:rFonts w:ascii="Palatino Linotype" w:hAnsi="Palatino Linotype"/>
          <w:sz w:val="20"/>
          <w:szCs w:val="20"/>
        </w:rPr>
        <w:t xml:space="preserve">for the initial conditions </w:t>
      </w:r>
      <w:r w:rsidR="00965D52">
        <w:rPr>
          <w:rFonts w:ascii="Palatino Linotype" w:hAnsi="Palatino Linotype"/>
          <w:sz w:val="20"/>
          <w:szCs w:val="20"/>
        </w:rPr>
        <w:t>can be automated</w:t>
      </w:r>
      <w:r>
        <w:rPr>
          <w:rFonts w:ascii="Palatino Linotype" w:hAnsi="Palatino Linotype"/>
          <w:sz w:val="20"/>
          <w:szCs w:val="20"/>
        </w:rPr>
        <w:t xml:space="preserve"> by running an additional optimization process using</w:t>
      </w:r>
      <w:r w:rsidR="00965D52">
        <w:rPr>
          <w:rFonts w:ascii="Palatino Linotype" w:hAnsi="Palatino Linotype"/>
          <w:sz w:val="20"/>
          <w:szCs w:val="20"/>
        </w:rPr>
        <w:t xml:space="preserve"> </w:t>
      </w:r>
      <m:oMath>
        <m:r>
          <w:rPr>
            <w:rFonts w:ascii="Cambria Math" w:hAnsi="Cambria Math"/>
            <w:sz w:val="20"/>
            <w:szCs w:val="20"/>
          </w:rPr>
          <m:t>scipy.optimize</m:t>
        </m:r>
      </m:oMath>
      <w:r>
        <w:rPr>
          <w:rFonts w:ascii="Palatino Linotype" w:hAnsi="Palatino Linotype"/>
          <w:sz w:val="20"/>
          <w:szCs w:val="20"/>
        </w:rPr>
        <w:t xml:space="preserve">. </w:t>
      </w:r>
      <w:r w:rsidR="002E4B27">
        <w:rPr>
          <w:rFonts w:ascii="Palatino Linotype" w:hAnsi="Palatino Linotype"/>
          <w:sz w:val="20"/>
          <w:szCs w:val="20"/>
        </w:rPr>
        <w:t>We run</w:t>
      </w:r>
      <w:r>
        <w:rPr>
          <w:rFonts w:ascii="Palatino Linotype" w:hAnsi="Palatino Linotype"/>
          <w:sz w:val="20"/>
          <w:szCs w:val="20"/>
        </w:rPr>
        <w:t xml:space="preserve"> a series of Heston </w:t>
      </w:r>
      <w:r w:rsidR="00077EBF">
        <w:rPr>
          <w:rFonts w:ascii="Palatino Linotype" w:hAnsi="Palatino Linotype"/>
          <w:sz w:val="20"/>
          <w:szCs w:val="20"/>
        </w:rPr>
        <w:t>calibrations</w:t>
      </w:r>
      <w:r>
        <w:rPr>
          <w:rFonts w:ascii="Palatino Linotype" w:hAnsi="Palatino Linotype"/>
          <w:sz w:val="20"/>
          <w:szCs w:val="20"/>
        </w:rPr>
        <w:t xml:space="preserve"> </w:t>
      </w:r>
      <w:r w:rsidR="00965D52">
        <w:rPr>
          <w:rFonts w:ascii="Palatino Linotype" w:hAnsi="Palatino Linotype"/>
          <w:sz w:val="20"/>
          <w:szCs w:val="20"/>
        </w:rPr>
        <w:t xml:space="preserve">starting with different initial conditions (and appropriate constrains, as explained previously) </w:t>
      </w:r>
      <w:r>
        <w:rPr>
          <w:rFonts w:ascii="Palatino Linotype" w:hAnsi="Palatino Linotype"/>
          <w:sz w:val="20"/>
          <w:szCs w:val="20"/>
        </w:rPr>
        <w:t>and find the one</w:t>
      </w:r>
      <w:r w:rsidR="00965D52">
        <w:rPr>
          <w:rFonts w:ascii="Palatino Linotype" w:hAnsi="Palatino Linotype"/>
          <w:sz w:val="20"/>
          <w:szCs w:val="20"/>
        </w:rPr>
        <w:t>s</w:t>
      </w:r>
      <w:r>
        <w:rPr>
          <w:rFonts w:ascii="Palatino Linotype" w:hAnsi="Palatino Linotype"/>
          <w:sz w:val="20"/>
          <w:szCs w:val="20"/>
        </w:rPr>
        <w:t xml:space="preserve"> </w:t>
      </w:r>
      <w:r w:rsidR="00AD65C7">
        <w:rPr>
          <w:rFonts w:ascii="Palatino Linotype" w:hAnsi="Palatino Linotype"/>
          <w:sz w:val="20"/>
          <w:szCs w:val="20"/>
        </w:rPr>
        <w:t>returning</w:t>
      </w:r>
      <w:r w:rsidR="00965D52">
        <w:rPr>
          <w:rFonts w:ascii="Palatino Linotype" w:hAnsi="Palatino Linotype"/>
          <w:sz w:val="20"/>
          <w:szCs w:val="20"/>
        </w:rPr>
        <w:t xml:space="preserve"> the</w:t>
      </w:r>
      <w:r>
        <w:rPr>
          <w:rFonts w:ascii="Palatino Linotype" w:hAnsi="Palatino Linotype"/>
          <w:sz w:val="20"/>
          <w:szCs w:val="20"/>
        </w:rPr>
        <w:t xml:space="preserve"> lowest error</w:t>
      </w:r>
      <w:r w:rsidR="00965D52">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sub>
        </m:sSub>
      </m:oMath>
      <w:r>
        <w:rPr>
          <w:rFonts w:ascii="Palatino Linotype" w:hAnsi="Palatino Linotype"/>
          <w:sz w:val="20"/>
          <w:szCs w:val="20"/>
        </w:rPr>
        <w:t xml:space="preserve">. </w:t>
      </w:r>
      <w:r w:rsidR="00AD65C7">
        <w:rPr>
          <w:rFonts w:ascii="Palatino Linotype" w:hAnsi="Palatino Linotype"/>
          <w:sz w:val="20"/>
          <w:szCs w:val="20"/>
        </w:rPr>
        <w:t>Computational time is then increasing depending on the quality and quantity of data.</w:t>
      </w:r>
    </w:p>
    <w:p w14:paraId="795D5424" w14:textId="449509EC" w:rsidR="00C23C73" w:rsidRDefault="004448AF" w:rsidP="006127CA">
      <w:pPr>
        <w:spacing w:line="360" w:lineRule="auto"/>
        <w:jc w:val="both"/>
        <w:rPr>
          <w:rFonts w:ascii="Palatino Linotype" w:hAnsi="Palatino Linotype"/>
          <w:sz w:val="20"/>
          <w:szCs w:val="20"/>
        </w:rPr>
      </w:pPr>
      <w:r>
        <w:rPr>
          <w:rFonts w:ascii="Palatino Linotype" w:hAnsi="Palatino Linotype"/>
          <w:sz w:val="20"/>
          <w:szCs w:val="20"/>
        </w:rPr>
        <w:lastRenderedPageBreak/>
        <w:t xml:space="preserve">The final parameters output for both models and datasets </w:t>
      </w:r>
      <w:r w:rsidR="00C23C73">
        <w:rPr>
          <w:rFonts w:ascii="Palatino Linotype" w:hAnsi="Palatino Linotype"/>
          <w:sz w:val="20"/>
          <w:szCs w:val="20"/>
        </w:rPr>
        <w:t>are</w:t>
      </w:r>
      <w:r>
        <w:rPr>
          <w:rFonts w:ascii="Palatino Linotype" w:hAnsi="Palatino Linotype"/>
          <w:sz w:val="20"/>
          <w:szCs w:val="20"/>
        </w:rPr>
        <w:t xml:space="preserve"> shown</w:t>
      </w:r>
      <w:r w:rsidR="00C23C73">
        <w:rPr>
          <w:rFonts w:ascii="Palatino Linotype" w:hAnsi="Palatino Linotype"/>
          <w:sz w:val="20"/>
          <w:szCs w:val="20"/>
        </w:rPr>
        <w:t xml:space="preserve"> below</w:t>
      </w:r>
      <w:r w:rsidR="001D63BF">
        <w:rPr>
          <w:rFonts w:ascii="Palatino Linotype" w:hAnsi="Palatino Linotype"/>
          <w:sz w:val="20"/>
          <w:szCs w:val="20"/>
        </w:rPr>
        <w:t>.</w:t>
      </w:r>
    </w:p>
    <w:p w14:paraId="05B6A772" w14:textId="77777777" w:rsidR="00C23C73" w:rsidRDefault="00C23C73" w:rsidP="006127CA">
      <w:pPr>
        <w:spacing w:line="360" w:lineRule="auto"/>
        <w:jc w:val="both"/>
        <w:rPr>
          <w:rFonts w:ascii="Palatino Linotype" w:hAnsi="Palatino Linotype"/>
          <w:sz w:val="20"/>
          <w:szCs w:val="20"/>
        </w:rPr>
      </w:pPr>
    </w:p>
    <w:p w14:paraId="2E1F0328" w14:textId="77777777" w:rsidR="00C23C73" w:rsidRDefault="00C23C73" w:rsidP="006127CA">
      <w:pPr>
        <w:spacing w:line="360" w:lineRule="auto"/>
        <w:jc w:val="both"/>
        <w:rPr>
          <w:rFonts w:ascii="Palatino Linotype" w:hAnsi="Palatino Linotype"/>
          <w:sz w:val="20"/>
          <w:szCs w:val="20"/>
        </w:rPr>
      </w:pPr>
      <w:r>
        <w:rPr>
          <w:rFonts w:ascii="Palatino Linotype" w:hAnsi="Palatino Linotype"/>
          <w:sz w:val="20"/>
          <w:szCs w:val="20"/>
        </w:rPr>
        <w:t>FIGURE(parameters output Heston)</w:t>
      </w:r>
    </w:p>
    <w:p w14:paraId="5729906B" w14:textId="3B184BC1" w:rsidR="004448AF" w:rsidRDefault="001D63BF" w:rsidP="006127CA">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7F544803" w14:textId="5592BE53" w:rsidR="007B75D9" w:rsidRPr="001D63BF" w:rsidRDefault="0087492D" w:rsidP="006127CA">
      <w:pPr>
        <w:spacing w:line="360" w:lineRule="auto"/>
        <w:jc w:val="both"/>
        <w:rPr>
          <w:rFonts w:ascii="Palatino Linotype" w:hAnsi="Palatino Linotype"/>
          <w:sz w:val="20"/>
          <w:szCs w:val="20"/>
        </w:rPr>
      </w:pPr>
      <w:r>
        <w:rPr>
          <w:rFonts w:ascii="Palatino Linotype" w:hAnsi="Palatino Linotype"/>
          <w:sz w:val="20"/>
          <w:szCs w:val="20"/>
        </w:rPr>
        <w:t>We conclud</w:t>
      </w:r>
      <w:r w:rsidR="000F3BC4">
        <w:rPr>
          <w:rFonts w:ascii="Palatino Linotype" w:hAnsi="Palatino Linotype"/>
          <w:sz w:val="20"/>
          <w:szCs w:val="20"/>
        </w:rPr>
        <w:t>e</w:t>
      </w:r>
      <w:r w:rsidR="00596972">
        <w:rPr>
          <w:rFonts w:ascii="Palatino Linotype" w:hAnsi="Palatino Linotype"/>
          <w:sz w:val="20"/>
          <w:szCs w:val="20"/>
        </w:rPr>
        <w:t xml:space="preserve"> that the Heston proves to be </w:t>
      </w:r>
      <w:r w:rsidR="001C0D74">
        <w:rPr>
          <w:rFonts w:ascii="Palatino Linotype" w:hAnsi="Palatino Linotype"/>
          <w:sz w:val="20"/>
          <w:szCs w:val="20"/>
        </w:rPr>
        <w:t xml:space="preserve">generally </w:t>
      </w:r>
      <w:r w:rsidR="00596972">
        <w:rPr>
          <w:rFonts w:ascii="Palatino Linotype" w:hAnsi="Palatino Linotype"/>
          <w:sz w:val="20"/>
          <w:szCs w:val="20"/>
        </w:rPr>
        <w:t>a</w:t>
      </w:r>
      <w:r w:rsidR="00063515">
        <w:rPr>
          <w:rFonts w:ascii="Palatino Linotype" w:hAnsi="Palatino Linotype"/>
          <w:sz w:val="20"/>
          <w:szCs w:val="20"/>
        </w:rPr>
        <w:t xml:space="preserve">n </w:t>
      </w:r>
      <w:r w:rsidR="00596972">
        <w:rPr>
          <w:rFonts w:ascii="Palatino Linotype" w:hAnsi="Palatino Linotype"/>
          <w:sz w:val="20"/>
          <w:szCs w:val="20"/>
        </w:rPr>
        <w:t xml:space="preserve">accurate </w:t>
      </w:r>
      <w:r w:rsidR="00E24D03">
        <w:rPr>
          <w:rFonts w:ascii="Palatino Linotype" w:hAnsi="Palatino Linotype"/>
          <w:sz w:val="20"/>
          <w:szCs w:val="20"/>
        </w:rPr>
        <w:t>model</w:t>
      </w:r>
      <w:r w:rsidR="00A109FE">
        <w:rPr>
          <w:rFonts w:ascii="Palatino Linotype" w:hAnsi="Palatino Linotype"/>
          <w:sz w:val="20"/>
          <w:szCs w:val="20"/>
        </w:rPr>
        <w:t xml:space="preserve">, especially </w:t>
      </w:r>
      <w:r w:rsidR="00837B09">
        <w:rPr>
          <w:rFonts w:ascii="Palatino Linotype" w:hAnsi="Palatino Linotype"/>
          <w:sz w:val="20"/>
          <w:szCs w:val="20"/>
        </w:rPr>
        <w:t>for pricing options with mid to long tenors</w:t>
      </w:r>
      <w:r w:rsidR="008D0696">
        <w:rPr>
          <w:rFonts w:ascii="Palatino Linotype" w:hAnsi="Palatino Linotype"/>
          <w:sz w:val="20"/>
          <w:szCs w:val="20"/>
        </w:rPr>
        <w:t xml:space="preserve">. </w:t>
      </w:r>
      <w:r w:rsidR="00AA4538">
        <w:rPr>
          <w:rFonts w:ascii="Palatino Linotype" w:hAnsi="Palatino Linotype"/>
          <w:sz w:val="20"/>
          <w:szCs w:val="20"/>
        </w:rPr>
        <w:t>Nevertheless, tests</w:t>
      </w:r>
      <w:r w:rsidR="00014B1C">
        <w:rPr>
          <w:rFonts w:ascii="Palatino Linotype" w:hAnsi="Palatino Linotype"/>
          <w:sz w:val="20"/>
          <w:szCs w:val="20"/>
        </w:rPr>
        <w:t xml:space="preserve"> confirm that </w:t>
      </w:r>
      <w:r w:rsidR="000D48D6">
        <w:rPr>
          <w:rFonts w:ascii="Palatino Linotype" w:hAnsi="Palatino Linotype"/>
          <w:sz w:val="20"/>
          <w:szCs w:val="20"/>
        </w:rPr>
        <w:t>sufficiently successful results are</w:t>
      </w:r>
      <w:r w:rsidR="00596972">
        <w:rPr>
          <w:rFonts w:ascii="Palatino Linotype" w:hAnsi="Palatino Linotype"/>
          <w:sz w:val="20"/>
          <w:szCs w:val="20"/>
        </w:rPr>
        <w:t xml:space="preserve"> very much dependent on the initial </w:t>
      </w:r>
      <w:r w:rsidR="00AE1419">
        <w:rPr>
          <w:rFonts w:ascii="Palatino Linotype" w:hAnsi="Palatino Linotype"/>
          <w:sz w:val="20"/>
          <w:szCs w:val="20"/>
        </w:rPr>
        <w:t>parameters</w:t>
      </w:r>
      <w:r w:rsidR="00C150A7">
        <w:rPr>
          <w:rFonts w:ascii="Palatino Linotype" w:hAnsi="Palatino Linotype"/>
          <w:sz w:val="20"/>
          <w:szCs w:val="20"/>
        </w:rPr>
        <w:t xml:space="preserve"> set</w:t>
      </w:r>
      <w:r w:rsidR="004441DB">
        <w:rPr>
          <w:rFonts w:ascii="Palatino Linotype" w:hAnsi="Palatino Linotype"/>
          <w:sz w:val="20"/>
          <w:szCs w:val="20"/>
        </w:rPr>
        <w:t xml:space="preserve"> and time for calibration can be excessively long</w:t>
      </w:r>
      <w:r w:rsidR="003D6111">
        <w:rPr>
          <w:rFonts w:ascii="Palatino Linotype" w:hAnsi="Palatino Linotype"/>
          <w:sz w:val="20"/>
          <w:szCs w:val="20"/>
        </w:rPr>
        <w:t xml:space="preserve"> depending on data</w:t>
      </w:r>
      <w:r w:rsidR="00596972">
        <w:rPr>
          <w:rFonts w:ascii="Palatino Linotype" w:hAnsi="Palatino Linotype"/>
          <w:sz w:val="20"/>
          <w:szCs w:val="20"/>
        </w:rPr>
        <w:t>.</w:t>
      </w:r>
      <w:r w:rsidR="001C0D74">
        <w:rPr>
          <w:rFonts w:ascii="Palatino Linotype" w:hAnsi="Palatino Linotype"/>
          <w:sz w:val="20"/>
          <w:szCs w:val="20"/>
        </w:rPr>
        <w:t xml:space="preserve"> </w:t>
      </w:r>
      <w:r w:rsidR="007B5574">
        <w:rPr>
          <w:rFonts w:ascii="Palatino Linotype" w:hAnsi="Palatino Linotype"/>
          <w:sz w:val="20"/>
          <w:szCs w:val="20"/>
        </w:rPr>
        <w:t xml:space="preserve">Using </w:t>
      </w:r>
      <w:r w:rsidR="003C74AA">
        <w:rPr>
          <w:rFonts w:ascii="Palatino Linotype" w:hAnsi="Palatino Linotype"/>
          <w:sz w:val="20"/>
          <w:szCs w:val="20"/>
        </w:rPr>
        <w:t xml:space="preserve">the newly </w:t>
      </w:r>
      <w:r w:rsidR="002E0EE9">
        <w:rPr>
          <w:rFonts w:ascii="Palatino Linotype" w:hAnsi="Palatino Linotype"/>
          <w:sz w:val="20"/>
          <w:szCs w:val="20"/>
        </w:rPr>
        <w:t>obtained</w:t>
      </w:r>
      <w:r w:rsidR="003C74AA">
        <w:rPr>
          <w:rFonts w:ascii="Palatino Linotype" w:hAnsi="Palatino Linotype"/>
          <w:sz w:val="20"/>
          <w:szCs w:val="20"/>
        </w:rPr>
        <w:t xml:space="preserve"> parameters </w:t>
      </w:r>
      <m:oMath>
        <m:r>
          <w:rPr>
            <w:rFonts w:ascii="Cambria Math" w:hAnsi="Cambria Math"/>
            <w:sz w:val="20"/>
            <w:szCs w:val="20"/>
          </w:rPr>
          <m:t>(v,  κ,  θ,  ρ,  σ)</m:t>
        </m:r>
      </m:oMath>
      <w:r w:rsidR="007B5574">
        <w:rPr>
          <w:rFonts w:ascii="Palatino Linotype" w:hAnsi="Palatino Linotype"/>
          <w:sz w:val="20"/>
          <w:szCs w:val="20"/>
        </w:rPr>
        <w:t xml:space="preserve">, we can compute smiles for each period and add results together for </w:t>
      </w:r>
      <w:r w:rsidR="00F20ACE">
        <w:rPr>
          <w:rFonts w:ascii="Palatino Linotype" w:hAnsi="Palatino Linotype"/>
          <w:sz w:val="20"/>
          <w:szCs w:val="20"/>
        </w:rPr>
        <w:t>building</w:t>
      </w:r>
      <w:r w:rsidR="007B5574">
        <w:rPr>
          <w:rFonts w:ascii="Palatino Linotype" w:hAnsi="Palatino Linotype"/>
          <w:sz w:val="20"/>
          <w:szCs w:val="20"/>
        </w:rPr>
        <w:t xml:space="preserve"> volatility surface</w:t>
      </w:r>
      <w:r w:rsidR="00486D9B">
        <w:rPr>
          <w:rFonts w:ascii="Palatino Linotype" w:hAnsi="Palatino Linotype"/>
          <w:sz w:val="20"/>
          <w:szCs w:val="20"/>
        </w:rPr>
        <w:t>s</w:t>
      </w:r>
      <w:r w:rsidR="007B5574">
        <w:rPr>
          <w:rFonts w:ascii="Palatino Linotype" w:hAnsi="Palatino Linotype"/>
          <w:sz w:val="20"/>
          <w:szCs w:val="20"/>
        </w:rPr>
        <w:t xml:space="preserve">.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are shown below.</w:t>
      </w:r>
      <w:r w:rsidR="007B75D9" w:rsidRPr="007B75D9">
        <w:rPr>
          <w:rFonts w:ascii="Palatino Linotype" w:hAnsi="Palatino Linotype"/>
          <w:sz w:val="20"/>
          <w:szCs w:val="20"/>
        </w:rPr>
        <w:t xml:space="preserve"> </w:t>
      </w:r>
      <w:r w:rsidR="007B75D9">
        <w:rPr>
          <w:rFonts w:ascii="Palatino Linotype" w:hAnsi="Palatino Linotype"/>
          <w:sz w:val="20"/>
          <w:szCs w:val="20"/>
        </w:rPr>
        <w:t>Since the first Heston model has noticeably performed better, we shall use it for final comparisons at the end of the chapter.</w:t>
      </w:r>
    </w:p>
    <w:p w14:paraId="694063D5" w14:textId="5F5B888F" w:rsidR="001D63BF" w:rsidRDefault="001D63BF" w:rsidP="006127CA">
      <w:pPr>
        <w:spacing w:line="360" w:lineRule="auto"/>
        <w:jc w:val="both"/>
        <w:rPr>
          <w:rFonts w:ascii="Palatino Linotype" w:hAnsi="Palatino Linotype"/>
          <w:sz w:val="20"/>
          <w:szCs w:val="20"/>
        </w:rPr>
      </w:pPr>
    </w:p>
    <w:p w14:paraId="21B99277" w14:textId="6734A908" w:rsidR="00B01390" w:rsidRDefault="00B01390" w:rsidP="006127CA">
      <w:pPr>
        <w:spacing w:line="360" w:lineRule="auto"/>
        <w:jc w:val="both"/>
        <w:rPr>
          <w:rFonts w:ascii="Palatino Linotype" w:hAnsi="Palatino Linotype"/>
          <w:sz w:val="20"/>
          <w:szCs w:val="20"/>
        </w:rPr>
      </w:pPr>
    </w:p>
    <w:p w14:paraId="0A6DA169" w14:textId="2D474D0F" w:rsidR="00B01390" w:rsidRDefault="00B01390" w:rsidP="006127CA">
      <w:pPr>
        <w:spacing w:line="360" w:lineRule="auto"/>
        <w:jc w:val="both"/>
        <w:rPr>
          <w:rFonts w:ascii="Palatino Linotype" w:hAnsi="Palatino Linotype"/>
          <w:sz w:val="20"/>
          <w:szCs w:val="20"/>
        </w:rPr>
      </w:pPr>
      <w:r>
        <w:rPr>
          <w:rFonts w:ascii="Palatino Linotype" w:hAnsi="Palatino Linotype"/>
          <w:sz w:val="20"/>
          <w:szCs w:val="20"/>
        </w:rPr>
        <w:t>FIGURE (Surfaces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p>
    <w:p w14:paraId="6A4594E2" w14:textId="2ECAEE60" w:rsidR="00B01390" w:rsidRDefault="00B01390" w:rsidP="006127CA">
      <w:pPr>
        <w:spacing w:line="360" w:lineRule="auto"/>
        <w:jc w:val="both"/>
        <w:rPr>
          <w:rFonts w:ascii="Palatino Linotype" w:hAnsi="Palatino Linotype"/>
          <w:sz w:val="20"/>
          <w:szCs w:val="20"/>
        </w:rPr>
      </w:pPr>
    </w:p>
    <w:p w14:paraId="246CC47F" w14:textId="5C88ACD2" w:rsidR="00EC56C9" w:rsidRDefault="003A6FAB" w:rsidP="006127CA">
      <w:pPr>
        <w:pStyle w:val="Heading3"/>
        <w:spacing w:line="360" w:lineRule="auto"/>
      </w:pPr>
      <w:r w:rsidRPr="004155C3">
        <w:t>SABR Model</w:t>
      </w:r>
    </w:p>
    <w:p w14:paraId="1EAD4602" w14:textId="24DEACD4" w:rsidR="00F177A9" w:rsidRDefault="00F177A9" w:rsidP="006127CA">
      <w:pPr>
        <w:spacing w:line="360" w:lineRule="auto"/>
        <w:jc w:val="both"/>
        <w:rPr>
          <w:rFonts w:ascii="Palatino Linotype" w:hAnsi="Palatino Linotype"/>
          <w:sz w:val="20"/>
          <w:szCs w:val="20"/>
        </w:rPr>
      </w:pPr>
      <w:r>
        <w:rPr>
          <w:rFonts w:ascii="Palatino Linotype" w:hAnsi="Palatino Linotype"/>
          <w:sz w:val="20"/>
          <w:szCs w:val="20"/>
        </w:rPr>
        <w:t xml:space="preserve">We use </w:t>
      </w:r>
      <m:oMath>
        <m:r>
          <w:rPr>
            <w:rFonts w:ascii="Cambria Math" w:hAnsi="Cambria Math"/>
            <w:sz w:val="20"/>
            <w:szCs w:val="20"/>
          </w:rPr>
          <m:t>scipy.minimize</m:t>
        </m:r>
      </m:oMath>
      <w:r>
        <w:rPr>
          <w:rFonts w:ascii="Palatino Linotype" w:hAnsi="Palatino Linotype"/>
          <w:sz w:val="20"/>
          <w:szCs w:val="20"/>
        </w:rPr>
        <w:t xml:space="preserve"> </w:t>
      </w:r>
      <w:r w:rsidR="00EB65BB">
        <w:rPr>
          <w:rFonts w:ascii="Palatino Linotype" w:hAnsi="Palatino Linotype"/>
          <w:sz w:val="20"/>
          <w:szCs w:val="20"/>
        </w:rPr>
        <w:t xml:space="preserve">to calibrate the </w:t>
      </w:r>
      <w:r w:rsidR="009B591E">
        <w:rPr>
          <w:rFonts w:ascii="Palatino Linotype" w:hAnsi="Palatino Linotype"/>
          <w:sz w:val="20"/>
          <w:szCs w:val="20"/>
        </w:rPr>
        <w:t xml:space="preserve">root </w:t>
      </w:r>
      <w:r w:rsidR="00EB65BB">
        <w:rPr>
          <w:rFonts w:ascii="Palatino Linotype" w:hAnsi="Palatino Linotype"/>
          <w:sz w:val="20"/>
          <w:szCs w:val="20"/>
        </w:rPr>
        <w:t>mean squared error function</w:t>
      </w:r>
      <w:r>
        <w:rPr>
          <w:rFonts w:ascii="Palatino Linotype" w:hAnsi="Palatino Linotype"/>
          <w:sz w:val="20"/>
          <w:szCs w:val="20"/>
        </w:rPr>
        <w:t xml:space="preserve">. For each smile, we </w:t>
      </w:r>
      <w:r w:rsidR="00D64684">
        <w:rPr>
          <w:rFonts w:ascii="Palatino Linotype" w:hAnsi="Palatino Linotype"/>
          <w:sz w:val="20"/>
          <w:szCs w:val="20"/>
        </w:rPr>
        <w:t xml:space="preserve">use </w:t>
      </w:r>
      <w:r w:rsidR="00425A64">
        <w:rPr>
          <w:rFonts w:ascii="Palatino Linotype" w:hAnsi="Palatino Linotype"/>
          <w:sz w:val="20"/>
          <w:szCs w:val="20"/>
        </w:rPr>
        <w:t xml:space="preserve">the fitting </w:t>
      </w:r>
      <w:r w:rsidR="00B35823">
        <w:rPr>
          <w:rFonts w:ascii="Palatino Linotype" w:hAnsi="Palatino Linotype"/>
          <w:sz w:val="20"/>
          <w:szCs w:val="20"/>
        </w:rPr>
        <w:t>parameters</w:t>
      </w:r>
      <w:r w:rsidR="00D64684">
        <w:rPr>
          <w:rFonts w:ascii="Palatino Linotype" w:hAnsi="Palatino Linotype"/>
          <w:sz w:val="20"/>
          <w:szCs w:val="20"/>
        </w:rPr>
        <w:t xml:space="preserve"> </w:t>
      </w:r>
      <w:r w:rsidR="00B35823">
        <w:rPr>
          <w:rFonts w:ascii="Palatino Linotype" w:hAnsi="Palatino Linotype"/>
          <w:sz w:val="20"/>
          <w:szCs w:val="20"/>
        </w:rPr>
        <w:t>into</w:t>
      </w:r>
      <w:r w:rsidR="00D64684">
        <w:rPr>
          <w:rFonts w:ascii="Palatino Linotype" w:hAnsi="Palatino Linotype"/>
          <w:sz w:val="20"/>
          <w:szCs w:val="20"/>
        </w:rPr>
        <w:t xml:space="preserve"> Hagan’s formula</w:t>
      </w:r>
      <w:r w:rsidR="00425A64">
        <w:rPr>
          <w:rFonts w:ascii="Palatino Linotype" w:hAnsi="Palatino Linotype"/>
          <w:sz w:val="20"/>
          <w:szCs w:val="20"/>
        </w:rPr>
        <w:t xml:space="preserve"> and solve using </w:t>
      </w:r>
      <m:oMath>
        <m:r>
          <w:rPr>
            <w:rFonts w:ascii="Cambria Math" w:hAnsi="Cambria Math"/>
            <w:sz w:val="20"/>
            <w:szCs w:val="20"/>
          </w:rPr>
          <m:t>ql.sabrVolatility()</m:t>
        </m:r>
      </m:oMath>
      <w:r w:rsidR="00D64684">
        <w:rPr>
          <w:rFonts w:ascii="Palatino Linotype" w:hAnsi="Palatino Linotype"/>
          <w:sz w:val="20"/>
          <w:szCs w:val="20"/>
        </w:rPr>
        <w:t xml:space="preserve">. After having parametrized all the smiles accordingly, we </w:t>
      </w:r>
      <w:r w:rsidR="000B3776">
        <w:rPr>
          <w:rFonts w:ascii="Palatino Linotype" w:hAnsi="Palatino Linotype"/>
          <w:sz w:val="20"/>
          <w:szCs w:val="20"/>
        </w:rPr>
        <w:t>compute</w:t>
      </w:r>
      <w:r w:rsidR="00D64684">
        <w:rPr>
          <w:rFonts w:ascii="Palatino Linotype" w:hAnsi="Palatino Linotype"/>
          <w:sz w:val="20"/>
          <w:szCs w:val="20"/>
        </w:rPr>
        <w:t xml:space="preserve"> the volatility matrix </w:t>
      </w:r>
      <w:r w:rsidR="00CF2F8F">
        <w:rPr>
          <w:rFonts w:ascii="Palatino Linotype" w:hAnsi="Palatino Linotype"/>
          <w:sz w:val="20"/>
          <w:szCs w:val="20"/>
        </w:rPr>
        <w:t>and plug it into</w:t>
      </w:r>
      <w:r w:rsidR="00B70491">
        <w:rPr>
          <w:rFonts w:ascii="Palatino Linotype" w:hAnsi="Palatino Linotype"/>
          <w:sz w:val="20"/>
          <w:szCs w:val="20"/>
        </w:rPr>
        <w:t xml:space="preserve"> </w:t>
      </w:r>
      <m:oMath>
        <m:r>
          <w:rPr>
            <w:rFonts w:ascii="Cambria Math" w:hAnsi="Cambria Math"/>
            <w:sz w:val="20"/>
            <w:szCs w:val="20"/>
          </w:rPr>
          <m:t>ql.BlackVarianceSurface()</m:t>
        </m:r>
      </m:oMath>
      <w:r w:rsidR="00D64684">
        <w:rPr>
          <w:rFonts w:ascii="Palatino Linotype" w:hAnsi="Palatino Linotype"/>
          <w:sz w:val="20"/>
          <w:szCs w:val="20"/>
        </w:rPr>
        <w:t xml:space="preserve"> to construct the SABR volatility surface</w:t>
      </w:r>
      <w:r w:rsidR="00B70491">
        <w:rPr>
          <w:rFonts w:ascii="Palatino Linotype" w:hAnsi="Palatino Linotype"/>
          <w:sz w:val="20"/>
          <w:szCs w:val="20"/>
        </w:rPr>
        <w:t xml:space="preserve">. </w:t>
      </w:r>
    </w:p>
    <w:p w14:paraId="025ACC69" w14:textId="7FF5A66D" w:rsidR="004155C3" w:rsidRDefault="008C1053" w:rsidP="006127CA">
      <w:pPr>
        <w:spacing w:line="360" w:lineRule="auto"/>
        <w:jc w:val="both"/>
        <w:rPr>
          <w:rFonts w:ascii="Palatino Linotype" w:hAnsi="Palatino Linotype"/>
          <w:sz w:val="20"/>
          <w:szCs w:val="20"/>
        </w:rPr>
      </w:pPr>
      <w:r>
        <w:rPr>
          <w:rFonts w:ascii="Palatino Linotype" w:hAnsi="Palatino Linotype"/>
          <w:sz w:val="20"/>
          <w:szCs w:val="20"/>
        </w:rPr>
        <w:t>Again,</w:t>
      </w:r>
      <w:r w:rsidR="001368CB">
        <w:rPr>
          <w:rFonts w:ascii="Palatino Linotype" w:hAnsi="Palatino Linotype"/>
          <w:sz w:val="20"/>
          <w:szCs w:val="20"/>
        </w:rPr>
        <w:t xml:space="preserve"> as </w:t>
      </w:r>
      <m:oMath>
        <m:r>
          <w:rPr>
            <w:rFonts w:ascii="Cambria Math" w:hAnsi="Cambria Math"/>
            <w:sz w:val="20"/>
            <w:szCs w:val="20"/>
          </w:rPr>
          <m:t>β=0</m:t>
        </m:r>
      </m:oMath>
      <w:r w:rsidR="001368CB">
        <w:rPr>
          <w:rFonts w:ascii="Palatino Linotype" w:hAnsi="Palatino Linotype"/>
          <w:sz w:val="20"/>
          <w:szCs w:val="20"/>
        </w:rPr>
        <w:t xml:space="preserve"> the model becomes a normal </w:t>
      </w:r>
      <w:r w:rsidR="00D0250D">
        <w:rPr>
          <w:rFonts w:ascii="Palatino Linotype" w:hAnsi="Palatino Linotype"/>
          <w:sz w:val="20"/>
          <w:szCs w:val="20"/>
        </w:rPr>
        <w:t>SABR</w:t>
      </w:r>
      <w:r w:rsidR="003C2A5B">
        <w:rPr>
          <w:rFonts w:ascii="Palatino Linotype" w:hAnsi="Palatino Linotype"/>
          <w:sz w:val="20"/>
          <w:szCs w:val="20"/>
        </w:rPr>
        <w:t xml:space="preserve"> and</w:t>
      </w:r>
      <w:r w:rsidR="00FC09A4">
        <w:rPr>
          <w:rFonts w:ascii="Palatino Linotype" w:hAnsi="Palatino Linotype"/>
          <w:sz w:val="20"/>
          <w:szCs w:val="20"/>
        </w:rPr>
        <w:t xml:space="preserve"> </w:t>
      </w:r>
      <w:r w:rsidR="00057235">
        <w:rPr>
          <w:rFonts w:ascii="Palatino Linotype" w:hAnsi="Palatino Linotype"/>
          <w:sz w:val="20"/>
          <w:szCs w:val="20"/>
        </w:rPr>
        <w:t>asset prices</w:t>
      </w:r>
      <w:r w:rsidR="00FC09A4">
        <w:rPr>
          <w:rFonts w:ascii="Palatino Linotype" w:hAnsi="Palatino Linotype"/>
          <w:sz w:val="20"/>
          <w:szCs w:val="20"/>
        </w:rPr>
        <w:t xml:space="preserve"> are assumed to</w:t>
      </w:r>
      <w:r w:rsidR="00057235">
        <w:rPr>
          <w:rFonts w:ascii="Palatino Linotype" w:hAnsi="Palatino Linotype"/>
          <w:sz w:val="20"/>
          <w:szCs w:val="20"/>
        </w:rPr>
        <w:t xml:space="preserve"> follow a</w:t>
      </w:r>
      <w:r w:rsidR="001368CB">
        <w:rPr>
          <w:rFonts w:ascii="Palatino Linotype" w:hAnsi="Palatino Linotype"/>
          <w:sz w:val="20"/>
          <w:szCs w:val="20"/>
        </w:rPr>
        <w:t xml:space="preserve"> </w:t>
      </w:r>
      <w:r w:rsidR="007507C6">
        <w:rPr>
          <w:rFonts w:ascii="Palatino Linotype" w:hAnsi="Palatino Linotype"/>
          <w:sz w:val="20"/>
          <w:szCs w:val="20"/>
        </w:rPr>
        <w:t>Gaussian distribution</w:t>
      </w:r>
      <w:r w:rsidR="001368CB">
        <w:rPr>
          <w:rFonts w:ascii="Palatino Linotype" w:hAnsi="Palatino Linotype"/>
          <w:sz w:val="20"/>
          <w:szCs w:val="20"/>
        </w:rPr>
        <w:t xml:space="preserve">. </w:t>
      </w:r>
      <w:r w:rsidR="004B7B37">
        <w:rPr>
          <w:rFonts w:ascii="Palatino Linotype" w:hAnsi="Palatino Linotype"/>
          <w:sz w:val="20"/>
          <w:szCs w:val="20"/>
        </w:rPr>
        <w:t xml:space="preserve">The results are shown in </w:t>
      </w:r>
      <w:r w:rsidR="007507C6">
        <w:rPr>
          <w:rFonts w:ascii="Palatino Linotype" w:hAnsi="Palatino Linotype"/>
          <w:sz w:val="20"/>
          <w:szCs w:val="20"/>
        </w:rPr>
        <w:t>the</w:t>
      </w:r>
      <w:r w:rsidR="004B7B37">
        <w:rPr>
          <w:rFonts w:ascii="Palatino Linotype" w:hAnsi="Palatino Linotype"/>
          <w:sz w:val="20"/>
          <w:szCs w:val="20"/>
        </w:rPr>
        <w:t xml:space="preserve"> table </w:t>
      </w:r>
      <w:r w:rsidR="007507C6">
        <w:rPr>
          <w:rFonts w:ascii="Palatino Linotype" w:hAnsi="Palatino Linotype"/>
          <w:sz w:val="20"/>
          <w:szCs w:val="20"/>
        </w:rPr>
        <w:t>below</w:t>
      </w:r>
      <w:r w:rsidR="004B7B37">
        <w:rPr>
          <w:rFonts w:ascii="Palatino Linotype" w:hAnsi="Palatino Linotype"/>
          <w:sz w:val="20"/>
          <w:szCs w:val="20"/>
        </w:rPr>
        <w:t xml:space="preserve">. A graph </w:t>
      </w:r>
      <w:r w:rsidR="007507C6">
        <w:rPr>
          <w:rFonts w:ascii="Palatino Linotype" w:hAnsi="Palatino Linotype"/>
          <w:sz w:val="20"/>
          <w:szCs w:val="20"/>
        </w:rPr>
        <w:t>also shows</w:t>
      </w:r>
      <w:r w:rsidR="004B7B37">
        <w:rPr>
          <w:rFonts w:ascii="Palatino Linotype" w:hAnsi="Palatino Linotype"/>
          <w:sz w:val="20"/>
          <w:szCs w:val="20"/>
        </w:rPr>
        <w:t xml:space="preserve"> how parameters</w:t>
      </w:r>
      <w:r w:rsidR="001344DE">
        <w:rPr>
          <w:rFonts w:ascii="Palatino Linotype" w:hAnsi="Palatino Linotype"/>
          <w:sz w:val="20"/>
          <w:szCs w:val="20"/>
        </w:rPr>
        <w:t xml:space="preserve"> change with different tenors</w:t>
      </w:r>
      <w:r w:rsidR="00005206">
        <w:rPr>
          <w:rFonts w:ascii="Palatino Linotype" w:hAnsi="Palatino Linotype"/>
          <w:sz w:val="20"/>
          <w:szCs w:val="20"/>
        </w:rPr>
        <w:t xml:space="preserve"> and </w:t>
      </w:r>
      <w:r w:rsidR="009C5C77">
        <w:rPr>
          <w:rFonts w:ascii="Palatino Linotype" w:hAnsi="Palatino Linotype"/>
          <w:sz w:val="20"/>
          <w:szCs w:val="20"/>
        </w:rPr>
        <w:t>changing</w:t>
      </w:r>
      <w:r w:rsidR="00005206">
        <w:rPr>
          <w:rFonts w:ascii="Palatino Linotype" w:hAnsi="Palatino Linotype"/>
          <w:sz w:val="20"/>
          <w:szCs w:val="20"/>
        </w:rPr>
        <w:t xml:space="preserve"> </w:t>
      </w:r>
      <w:r w:rsidR="009C5C77">
        <w:rPr>
          <w:rFonts w:ascii="Palatino Linotype" w:hAnsi="Palatino Linotype"/>
          <w:sz w:val="20"/>
          <w:szCs w:val="20"/>
        </w:rPr>
        <w:t xml:space="preserve">the </w:t>
      </w:r>
      <w:r w:rsidR="00005206">
        <w:rPr>
          <w:rFonts w:ascii="Palatino Linotype" w:hAnsi="Palatino Linotype"/>
          <w:sz w:val="20"/>
          <w:szCs w:val="20"/>
        </w:rPr>
        <w:t xml:space="preserve">value of </w:t>
      </w:r>
      <m:oMath>
        <m:r>
          <w:rPr>
            <w:rFonts w:ascii="Cambria Math" w:hAnsi="Cambria Math"/>
            <w:sz w:val="20"/>
            <w:szCs w:val="20"/>
          </w:rPr>
          <m:t>β∈(0, 0.5 , 1)</m:t>
        </m:r>
      </m:oMath>
      <w:r w:rsidR="004B7B37">
        <w:rPr>
          <w:rFonts w:ascii="Palatino Linotype" w:hAnsi="Palatino Linotype"/>
          <w:sz w:val="20"/>
          <w:szCs w:val="20"/>
        </w:rPr>
        <w:t>.</w:t>
      </w:r>
    </w:p>
    <w:p w14:paraId="6D952B6A" w14:textId="0EAF85E9" w:rsidR="004B7B37" w:rsidRDefault="004B7B37" w:rsidP="006127CA">
      <w:pPr>
        <w:spacing w:line="360" w:lineRule="auto"/>
        <w:jc w:val="both"/>
        <w:rPr>
          <w:rFonts w:ascii="Palatino Linotype" w:hAnsi="Palatino Linotype"/>
          <w:sz w:val="20"/>
          <w:szCs w:val="20"/>
        </w:rPr>
      </w:pPr>
    </w:p>
    <w:p w14:paraId="6498CC85" w14:textId="4FDFFAC5" w:rsidR="004B7B37" w:rsidRDefault="004B7B37" w:rsidP="006127CA">
      <w:pPr>
        <w:spacing w:line="360" w:lineRule="auto"/>
        <w:jc w:val="both"/>
        <w:rPr>
          <w:rFonts w:ascii="Palatino Linotype" w:hAnsi="Palatino Linotype"/>
          <w:sz w:val="20"/>
          <w:szCs w:val="20"/>
        </w:rPr>
      </w:pPr>
      <w:r>
        <w:rPr>
          <w:rFonts w:ascii="Palatino Linotype" w:hAnsi="Palatino Linotype"/>
          <w:sz w:val="20"/>
          <w:szCs w:val="20"/>
        </w:rPr>
        <w:t>FIGURE (SABR tables)</w:t>
      </w:r>
    </w:p>
    <w:p w14:paraId="5F2A305F" w14:textId="500DF302" w:rsidR="004B7B37" w:rsidRDefault="004B7B37" w:rsidP="006127CA">
      <w:pPr>
        <w:spacing w:line="360" w:lineRule="auto"/>
        <w:jc w:val="both"/>
        <w:rPr>
          <w:rFonts w:ascii="Palatino Linotype" w:hAnsi="Palatino Linotype"/>
          <w:sz w:val="20"/>
          <w:szCs w:val="20"/>
        </w:rPr>
      </w:pPr>
      <w:r>
        <w:rPr>
          <w:rFonts w:ascii="Palatino Linotype" w:hAnsi="Palatino Linotype"/>
          <w:sz w:val="20"/>
          <w:szCs w:val="20"/>
        </w:rPr>
        <w:t>FIGURE (alpha, rho, nu comparison between models</w:t>
      </w:r>
      <w:r w:rsidR="00503145">
        <w:rPr>
          <w:rFonts w:ascii="Palatino Linotype" w:hAnsi="Palatino Linotype"/>
          <w:sz w:val="20"/>
          <w:szCs w:val="20"/>
        </w:rPr>
        <w:t xml:space="preserve"> with errors</w:t>
      </w:r>
      <w:r>
        <w:rPr>
          <w:rFonts w:ascii="Palatino Linotype" w:hAnsi="Palatino Linotype"/>
          <w:sz w:val="20"/>
          <w:szCs w:val="20"/>
        </w:rPr>
        <w:t>)</w:t>
      </w:r>
    </w:p>
    <w:p w14:paraId="7761892A" w14:textId="77777777" w:rsidR="009846B9" w:rsidRDefault="009846B9" w:rsidP="006127CA">
      <w:pPr>
        <w:spacing w:line="360" w:lineRule="auto"/>
        <w:jc w:val="both"/>
        <w:rPr>
          <w:rFonts w:ascii="Palatino Linotype" w:hAnsi="Palatino Linotype"/>
          <w:sz w:val="20"/>
          <w:szCs w:val="20"/>
        </w:rPr>
      </w:pPr>
    </w:p>
    <w:p w14:paraId="5EA4464F" w14:textId="6CC56F86" w:rsidR="004B7B37" w:rsidRDefault="00E450B1" w:rsidP="006127CA">
      <w:pPr>
        <w:spacing w:line="360" w:lineRule="auto"/>
        <w:jc w:val="both"/>
        <w:rPr>
          <w:rFonts w:ascii="Palatino Linotype" w:hAnsi="Palatino Linotype"/>
          <w:sz w:val="20"/>
          <w:szCs w:val="20"/>
        </w:rPr>
      </w:pPr>
      <w:r w:rsidRPr="00F12F6B">
        <w:rPr>
          <w:rFonts w:ascii="Palatino Linotype" w:hAnsi="Palatino Linotype"/>
          <w:sz w:val="20"/>
          <w:szCs w:val="20"/>
        </w:rPr>
        <w:t xml:space="preserve">As we can see, </w:t>
      </w:r>
      <w:r w:rsidR="00A41C97">
        <w:rPr>
          <w:rFonts w:ascii="Palatino Linotype" w:hAnsi="Palatino Linotype"/>
          <w:sz w:val="20"/>
          <w:szCs w:val="20"/>
        </w:rPr>
        <w:t>it is interesting how generally parameters behave similarly over time across datasets</w:t>
      </w:r>
      <w:r w:rsidR="00C20E46">
        <w:rPr>
          <w:rFonts w:ascii="Palatino Linotype" w:hAnsi="Palatino Linotype"/>
          <w:sz w:val="20"/>
          <w:szCs w:val="20"/>
        </w:rPr>
        <w:t xml:space="preserve"> with same </w:t>
      </w:r>
      <m:oMath>
        <m:r>
          <w:rPr>
            <w:rFonts w:ascii="Cambria Math" w:hAnsi="Cambria Math"/>
            <w:sz w:val="20"/>
            <w:szCs w:val="20"/>
          </w:rPr>
          <m:t>β</m:t>
        </m:r>
      </m:oMath>
      <w:r w:rsidRPr="00F12F6B">
        <w:rPr>
          <w:rFonts w:ascii="Palatino Linotype" w:hAnsi="Palatino Linotype"/>
          <w:sz w:val="20"/>
          <w:szCs w:val="20"/>
        </w:rPr>
        <w:t xml:space="preserve">. </w:t>
      </w:r>
      <w:r w:rsidR="00A41C97">
        <w:rPr>
          <w:rFonts w:ascii="Palatino Linotype" w:hAnsi="Palatino Linotype"/>
          <w:sz w:val="20"/>
          <w:szCs w:val="20"/>
        </w:rPr>
        <w:t xml:space="preserve">In fact, </w:t>
      </w:r>
      <m:oMath>
        <m:r>
          <w:rPr>
            <w:rFonts w:ascii="Cambria Math" w:hAnsi="Cambria Math"/>
            <w:sz w:val="20"/>
            <w:szCs w:val="20"/>
          </w:rPr>
          <m:t>α</m:t>
        </m:r>
      </m:oMath>
      <w:r w:rsidR="00A41C97">
        <w:rPr>
          <w:rFonts w:ascii="Palatino Linotype" w:hAnsi="Palatino Linotype"/>
          <w:sz w:val="20"/>
          <w:szCs w:val="20"/>
        </w:rPr>
        <w:t xml:space="preserve"> is generally a flat looking function when plotted across time, </w:t>
      </w:r>
      <m:oMath>
        <m:r>
          <w:rPr>
            <w:rFonts w:ascii="Cambria Math" w:hAnsi="Cambria Math"/>
            <w:sz w:val="20"/>
            <w:szCs w:val="20"/>
          </w:rPr>
          <m:t>ρ</m:t>
        </m:r>
      </m:oMath>
      <w:r w:rsidR="00A41C97">
        <w:rPr>
          <w:rFonts w:ascii="Palatino Linotype" w:hAnsi="Palatino Linotype"/>
          <w:sz w:val="20"/>
          <w:szCs w:val="20"/>
        </w:rPr>
        <w:t xml:space="preserve"> seems to be increasing with time on average, </w:t>
      </w:r>
      <m:oMath>
        <m:r>
          <w:rPr>
            <w:rFonts w:ascii="Cambria Math" w:hAnsi="Cambria Math"/>
            <w:sz w:val="20"/>
            <w:szCs w:val="20"/>
          </w:rPr>
          <m:t>ν</m:t>
        </m:r>
      </m:oMath>
      <w:r w:rsidR="00A41C97">
        <w:rPr>
          <w:rFonts w:ascii="Palatino Linotype" w:hAnsi="Palatino Linotype"/>
          <w:sz w:val="20"/>
          <w:szCs w:val="20"/>
        </w:rPr>
        <w:t xml:space="preserve"> is a decreasing function of time. </w:t>
      </w:r>
      <w:r w:rsidR="006A5EEB">
        <w:rPr>
          <w:rFonts w:ascii="Palatino Linotype" w:hAnsi="Palatino Linotype"/>
          <w:sz w:val="20"/>
          <w:szCs w:val="20"/>
        </w:rPr>
        <w:t>The biggest</w:t>
      </w:r>
      <w:r w:rsidR="00C20E46">
        <w:rPr>
          <w:rFonts w:ascii="Palatino Linotype" w:hAnsi="Palatino Linotype"/>
          <w:sz w:val="20"/>
          <w:szCs w:val="20"/>
        </w:rPr>
        <w:t xml:space="preserve"> exception </w:t>
      </w:r>
      <w:r w:rsidR="006A5EEB">
        <w:rPr>
          <w:rFonts w:ascii="Palatino Linotype" w:hAnsi="Palatino Linotype"/>
          <w:sz w:val="20"/>
          <w:szCs w:val="20"/>
        </w:rPr>
        <w:t>comes</w:t>
      </w:r>
      <w:r w:rsidR="00C20E46">
        <w:rPr>
          <w:rFonts w:ascii="Palatino Linotype" w:hAnsi="Palatino Linotype"/>
          <w:sz w:val="20"/>
          <w:szCs w:val="20"/>
        </w:rPr>
        <w:t xml:space="preserve"> with Coffee</w:t>
      </w:r>
      <w:r w:rsidR="00316FBA">
        <w:rPr>
          <w:rFonts w:ascii="Palatino Linotype" w:hAnsi="Palatino Linotype"/>
          <w:sz w:val="20"/>
          <w:szCs w:val="20"/>
        </w:rPr>
        <w:t xml:space="preserve"> data</w:t>
      </w:r>
      <w:r w:rsidR="00C20E46">
        <w:rPr>
          <w:rFonts w:ascii="Palatino Linotype" w:hAnsi="Palatino Linotype"/>
          <w:sz w:val="20"/>
          <w:szCs w:val="20"/>
        </w:rPr>
        <w:t xml:space="preserve">, where parameters </w:t>
      </w:r>
      <w:r w:rsidR="00AD66C7">
        <w:rPr>
          <w:rFonts w:ascii="Palatino Linotype" w:hAnsi="Palatino Linotype"/>
          <w:sz w:val="20"/>
          <w:szCs w:val="20"/>
        </w:rPr>
        <w:t>behave in a drastically different way than with</w:t>
      </w:r>
      <w:r w:rsidR="00C20E46">
        <w:rPr>
          <w:rFonts w:ascii="Palatino Linotype" w:hAnsi="Palatino Linotype"/>
          <w:sz w:val="20"/>
          <w:szCs w:val="20"/>
        </w:rPr>
        <w:t xml:space="preserve"> the other models, and somehow result in a </w:t>
      </w:r>
      <w:r w:rsidR="007B6E00">
        <w:rPr>
          <w:rFonts w:ascii="Palatino Linotype" w:hAnsi="Palatino Linotype"/>
          <w:sz w:val="20"/>
          <w:szCs w:val="20"/>
        </w:rPr>
        <w:t>constant underperformance</w:t>
      </w:r>
      <w:r w:rsidR="00C20E46">
        <w:rPr>
          <w:rFonts w:ascii="Palatino Linotype" w:hAnsi="Palatino Linotype"/>
          <w:sz w:val="20"/>
          <w:szCs w:val="20"/>
        </w:rPr>
        <w:t xml:space="preserve"> across the entire set of tenors. </w:t>
      </w:r>
      <w:r w:rsidR="00F53F8F">
        <w:rPr>
          <w:rFonts w:ascii="Palatino Linotype" w:hAnsi="Palatino Linotype"/>
          <w:sz w:val="20"/>
          <w:szCs w:val="20"/>
        </w:rPr>
        <w:t>An important consideration to note is that</w:t>
      </w:r>
      <w:r w:rsidRPr="00F12F6B">
        <w:rPr>
          <w:rFonts w:ascii="Palatino Linotype" w:hAnsi="Palatino Linotype"/>
          <w:sz w:val="20"/>
          <w:szCs w:val="20"/>
        </w:rPr>
        <w:t xml:space="preserve"> when </w:t>
      </w:r>
      <m:oMath>
        <m:r>
          <w:rPr>
            <w:rFonts w:ascii="Cambria Math" w:hAnsi="Cambria Math"/>
            <w:sz w:val="20"/>
            <w:szCs w:val="20"/>
          </w:rPr>
          <m:t>β=1</m:t>
        </m:r>
      </m:oMath>
      <w:r w:rsidRPr="00F12F6B">
        <w:rPr>
          <w:rFonts w:ascii="Palatino Linotype" w:hAnsi="Palatino Linotype"/>
          <w:sz w:val="20"/>
          <w:szCs w:val="20"/>
        </w:rPr>
        <w:t xml:space="preserve">, </w:t>
      </w:r>
      <m:oMath>
        <m:r>
          <w:rPr>
            <w:rFonts w:ascii="Cambria Math" w:hAnsi="Cambria Math"/>
            <w:sz w:val="20"/>
            <w:szCs w:val="20"/>
          </w:rPr>
          <m:t>α</m:t>
        </m:r>
      </m:oMath>
      <w:r w:rsidR="00F53F8F">
        <w:rPr>
          <w:rFonts w:ascii="Palatino Linotype" w:hAnsi="Palatino Linotype"/>
          <w:sz w:val="20"/>
          <w:szCs w:val="20"/>
        </w:rPr>
        <w:t xml:space="preserve"> </w:t>
      </w:r>
      <w:r w:rsidRPr="00F12F6B">
        <w:rPr>
          <w:rFonts w:ascii="Palatino Linotype" w:hAnsi="Palatino Linotype"/>
          <w:sz w:val="20"/>
          <w:szCs w:val="20"/>
        </w:rPr>
        <w:t>tend</w:t>
      </w:r>
      <w:r w:rsidR="00F53F8F">
        <w:rPr>
          <w:rFonts w:ascii="Palatino Linotype" w:hAnsi="Palatino Linotype"/>
          <w:sz w:val="20"/>
          <w:szCs w:val="20"/>
        </w:rPr>
        <w:t>s</w:t>
      </w:r>
      <w:r w:rsidRPr="00F12F6B">
        <w:rPr>
          <w:rFonts w:ascii="Palatino Linotype" w:hAnsi="Palatino Linotype"/>
          <w:sz w:val="20"/>
          <w:szCs w:val="20"/>
        </w:rPr>
        <w:t xml:space="preserve"> to stay close to zero with small to no variability</w:t>
      </w:r>
      <w:r w:rsidR="007504DC">
        <w:rPr>
          <w:rFonts w:ascii="Palatino Linotype" w:hAnsi="Palatino Linotype"/>
          <w:sz w:val="20"/>
          <w:szCs w:val="20"/>
        </w:rPr>
        <w:t xml:space="preserve">, whereas with </w:t>
      </w:r>
      <m:oMath>
        <m:r>
          <w:rPr>
            <w:rFonts w:ascii="Cambria Math" w:hAnsi="Cambria Math"/>
            <w:sz w:val="20"/>
            <w:szCs w:val="20"/>
          </w:rPr>
          <m:t>β=0</m:t>
        </m:r>
      </m:oMath>
      <w:r w:rsidR="007504DC">
        <w:rPr>
          <w:rFonts w:ascii="Palatino Linotype" w:hAnsi="Palatino Linotype"/>
          <w:sz w:val="20"/>
          <w:szCs w:val="20"/>
        </w:rPr>
        <w:t xml:space="preserve"> </w:t>
      </w:r>
      <w:r w:rsidR="00AE521D">
        <w:rPr>
          <w:rFonts w:ascii="Palatino Linotype" w:hAnsi="Palatino Linotype"/>
          <w:sz w:val="20"/>
          <w:szCs w:val="20"/>
        </w:rPr>
        <w:t xml:space="preserve">the calibration results in higher </w:t>
      </w:r>
      <w:r w:rsidR="007504DC">
        <w:rPr>
          <w:rFonts w:ascii="Palatino Linotype" w:hAnsi="Palatino Linotype"/>
          <w:sz w:val="20"/>
          <w:szCs w:val="20"/>
        </w:rPr>
        <w:t>values</w:t>
      </w:r>
      <w:r w:rsidR="00AE521D">
        <w:rPr>
          <w:rFonts w:ascii="Palatino Linotype" w:hAnsi="Palatino Linotype"/>
          <w:sz w:val="20"/>
          <w:szCs w:val="20"/>
        </w:rPr>
        <w:t xml:space="preserve"> and variability</w:t>
      </w:r>
      <w:r w:rsidR="008C6C48">
        <w:rPr>
          <w:rFonts w:ascii="Palatino Linotype" w:hAnsi="Palatino Linotype"/>
          <w:sz w:val="20"/>
          <w:szCs w:val="20"/>
        </w:rPr>
        <w:t xml:space="preserve"> with the parameter</w:t>
      </w:r>
      <w:r w:rsidR="007504DC">
        <w:rPr>
          <w:rFonts w:ascii="Palatino Linotype" w:hAnsi="Palatino Linotype"/>
          <w:sz w:val="20"/>
          <w:szCs w:val="20"/>
        </w:rPr>
        <w:t xml:space="preserve"> hitting more than 250 in the case of Gold</w:t>
      </w:r>
      <w:r w:rsidRPr="00F12F6B">
        <w:rPr>
          <w:rFonts w:ascii="Palatino Linotype" w:hAnsi="Palatino Linotype"/>
          <w:sz w:val="20"/>
          <w:szCs w:val="20"/>
        </w:rPr>
        <w:t xml:space="preserve">. </w:t>
      </w:r>
      <w:r w:rsidR="00801581" w:rsidRPr="00F12F6B">
        <w:rPr>
          <w:rFonts w:ascii="Palatino Linotype" w:hAnsi="Palatino Linotype"/>
          <w:sz w:val="20"/>
          <w:szCs w:val="20"/>
        </w:rPr>
        <w:t>Th</w:t>
      </w:r>
      <w:r w:rsidR="00F65900">
        <w:rPr>
          <w:rFonts w:ascii="Palatino Linotype" w:hAnsi="Palatino Linotype"/>
          <w:sz w:val="20"/>
          <w:szCs w:val="20"/>
        </w:rPr>
        <w:t xml:space="preserve">e parameters calibration </w:t>
      </w:r>
      <w:r w:rsidR="008F43B2">
        <w:rPr>
          <w:rFonts w:ascii="Palatino Linotype" w:hAnsi="Palatino Linotype"/>
          <w:sz w:val="20"/>
          <w:szCs w:val="20"/>
        </w:rPr>
        <w:t xml:space="preserve">on </w:t>
      </w:r>
      <m:oMath>
        <m:r>
          <w:rPr>
            <w:rFonts w:ascii="Cambria Math" w:hAnsi="Cambria Math"/>
            <w:sz w:val="20"/>
            <w:szCs w:val="20"/>
          </w:rPr>
          <m:t>ν</m:t>
        </m:r>
      </m:oMath>
      <w:r w:rsidR="008F43B2">
        <w:rPr>
          <w:rFonts w:ascii="Palatino Linotype" w:hAnsi="Palatino Linotype"/>
          <w:sz w:val="20"/>
          <w:szCs w:val="20"/>
        </w:rPr>
        <w:t xml:space="preserve"> </w:t>
      </w:r>
      <w:r w:rsidR="00F65900">
        <w:rPr>
          <w:rFonts w:ascii="Palatino Linotype" w:hAnsi="Palatino Linotype"/>
          <w:sz w:val="20"/>
          <w:szCs w:val="20"/>
        </w:rPr>
        <w:t xml:space="preserve">for the Normal SABR </w:t>
      </w:r>
      <w:r w:rsidR="008F43B2">
        <w:rPr>
          <w:rFonts w:ascii="Palatino Linotype" w:hAnsi="Palatino Linotype"/>
          <w:sz w:val="20"/>
          <w:szCs w:val="20"/>
        </w:rPr>
        <w:t xml:space="preserve">on Coffee </w:t>
      </w:r>
      <w:r w:rsidR="00A333D2">
        <w:rPr>
          <w:rFonts w:ascii="Palatino Linotype" w:hAnsi="Palatino Linotype"/>
          <w:sz w:val="20"/>
          <w:szCs w:val="20"/>
        </w:rPr>
        <w:t>would impl</w:t>
      </w:r>
      <w:r w:rsidR="00FF3B6F">
        <w:rPr>
          <w:rFonts w:ascii="Palatino Linotype" w:hAnsi="Palatino Linotype"/>
          <w:sz w:val="20"/>
          <w:szCs w:val="20"/>
        </w:rPr>
        <w:t>y</w:t>
      </w:r>
      <w:r w:rsidR="00F65900">
        <w:rPr>
          <w:rFonts w:ascii="Palatino Linotype" w:hAnsi="Palatino Linotype"/>
          <w:sz w:val="20"/>
          <w:szCs w:val="20"/>
        </w:rPr>
        <w:t xml:space="preserve"> </w:t>
      </w:r>
      <w:r w:rsidR="00801581" w:rsidRPr="00F12F6B">
        <w:rPr>
          <w:rFonts w:ascii="Palatino Linotype" w:hAnsi="Palatino Linotype"/>
          <w:sz w:val="20"/>
          <w:szCs w:val="20"/>
        </w:rPr>
        <w:t xml:space="preserve">a </w:t>
      </w:r>
      <w:r w:rsidR="008F43B2">
        <w:rPr>
          <w:rFonts w:ascii="Palatino Linotype" w:hAnsi="Palatino Linotype"/>
          <w:sz w:val="20"/>
          <w:szCs w:val="20"/>
        </w:rPr>
        <w:t>sharper</w:t>
      </w:r>
      <w:r w:rsidR="00801581" w:rsidRPr="00F12F6B">
        <w:rPr>
          <w:rFonts w:ascii="Palatino Linotype" w:hAnsi="Palatino Linotype"/>
          <w:sz w:val="20"/>
          <w:szCs w:val="20"/>
        </w:rPr>
        <w:t xml:space="preserve"> </w:t>
      </w:r>
      <w:r w:rsidR="008F43B2">
        <w:rPr>
          <w:rFonts w:ascii="Palatino Linotype" w:hAnsi="Palatino Linotype"/>
          <w:sz w:val="20"/>
          <w:szCs w:val="20"/>
        </w:rPr>
        <w:t>smile</w:t>
      </w:r>
      <w:r w:rsidR="00801581" w:rsidRPr="00F12F6B">
        <w:rPr>
          <w:rFonts w:ascii="Palatino Linotype" w:hAnsi="Palatino Linotype"/>
          <w:sz w:val="20"/>
          <w:szCs w:val="20"/>
        </w:rPr>
        <w:t xml:space="preserve"> on each tenor and </w:t>
      </w:r>
      <w:r w:rsidR="008F43B2">
        <w:rPr>
          <w:rFonts w:ascii="Palatino Linotype" w:hAnsi="Palatino Linotype"/>
          <w:sz w:val="20"/>
          <w:szCs w:val="20"/>
        </w:rPr>
        <w:t>a higher slope</w:t>
      </w:r>
      <w:r w:rsidR="00801581" w:rsidRPr="00F12F6B">
        <w:rPr>
          <w:rFonts w:ascii="Palatino Linotype" w:hAnsi="Palatino Linotype"/>
          <w:sz w:val="20"/>
          <w:szCs w:val="20"/>
        </w:rPr>
        <w:t xml:space="preserve"> on </w:t>
      </w:r>
      <w:r w:rsidR="008F43B2">
        <w:rPr>
          <w:rFonts w:ascii="Palatino Linotype" w:hAnsi="Palatino Linotype"/>
          <w:sz w:val="20"/>
          <w:szCs w:val="20"/>
        </w:rPr>
        <w:t>each smile</w:t>
      </w:r>
      <w:r w:rsidR="00801581" w:rsidRPr="00F12F6B">
        <w:rPr>
          <w:rFonts w:ascii="Palatino Linotype" w:hAnsi="Palatino Linotype"/>
          <w:sz w:val="20"/>
          <w:szCs w:val="20"/>
        </w:rPr>
        <w:t xml:space="preserve">, which in essence results in a bad model. </w:t>
      </w:r>
      <w:r w:rsidR="00797FC4">
        <w:rPr>
          <w:rFonts w:ascii="Palatino Linotype" w:hAnsi="Palatino Linotype"/>
          <w:sz w:val="20"/>
          <w:szCs w:val="20"/>
        </w:rPr>
        <w:t>Similarly</w:t>
      </w:r>
      <w:r w:rsidRPr="00F12F6B">
        <w:rPr>
          <w:rFonts w:ascii="Palatino Linotype" w:hAnsi="Palatino Linotype"/>
          <w:sz w:val="20"/>
          <w:szCs w:val="20"/>
        </w:rPr>
        <w:t xml:space="preserve">, </w:t>
      </w:r>
      <w:r w:rsidR="00797FC4">
        <w:rPr>
          <w:rFonts w:ascii="Palatino Linotype" w:hAnsi="Palatino Linotype"/>
          <w:sz w:val="20"/>
          <w:szCs w:val="20"/>
        </w:rPr>
        <w:t xml:space="preserve">spikes on </w:t>
      </w:r>
      <m:oMath>
        <m:r>
          <w:rPr>
            <w:rFonts w:ascii="Cambria Math" w:hAnsi="Cambria Math"/>
            <w:sz w:val="20"/>
            <w:szCs w:val="20"/>
          </w:rPr>
          <m:t>ν</m:t>
        </m:r>
      </m:oMath>
      <w:r w:rsidR="00797FC4">
        <w:rPr>
          <w:rFonts w:ascii="Palatino Linotype" w:hAnsi="Palatino Linotype"/>
          <w:sz w:val="20"/>
          <w:szCs w:val="20"/>
        </w:rPr>
        <w:t xml:space="preserve"> for Gold </w:t>
      </w:r>
      <w:r w:rsidR="0027415C">
        <w:rPr>
          <w:rFonts w:ascii="Palatino Linotype" w:hAnsi="Palatino Linotype"/>
          <w:sz w:val="20"/>
          <w:szCs w:val="20"/>
        </w:rPr>
        <w:t xml:space="preserve">would </w:t>
      </w:r>
      <w:r w:rsidR="00797FC4">
        <w:rPr>
          <w:rFonts w:ascii="Palatino Linotype" w:hAnsi="Palatino Linotype"/>
          <w:sz w:val="20"/>
          <w:szCs w:val="20"/>
        </w:rPr>
        <w:t>indicate</w:t>
      </w:r>
      <w:r w:rsidR="0027415C">
        <w:rPr>
          <w:rFonts w:ascii="Palatino Linotype" w:hAnsi="Palatino Linotype"/>
          <w:sz w:val="20"/>
          <w:szCs w:val="20"/>
        </w:rPr>
        <w:t xml:space="preserve"> </w:t>
      </w:r>
      <w:r w:rsidR="00CF60A7">
        <w:rPr>
          <w:rFonts w:ascii="Palatino Linotype" w:hAnsi="Palatino Linotype"/>
          <w:sz w:val="20"/>
          <w:szCs w:val="20"/>
        </w:rPr>
        <w:t xml:space="preserve">sharp smiles </w:t>
      </w:r>
      <w:r w:rsidR="0027415C">
        <w:rPr>
          <w:rFonts w:ascii="Palatino Linotype" w:hAnsi="Palatino Linotype"/>
          <w:sz w:val="20"/>
          <w:szCs w:val="20"/>
        </w:rPr>
        <w:lastRenderedPageBreak/>
        <w:t xml:space="preserve">on </w:t>
      </w:r>
      <w:r w:rsidR="00CF60A7">
        <w:rPr>
          <w:rFonts w:ascii="Palatino Linotype" w:hAnsi="Palatino Linotype"/>
          <w:sz w:val="20"/>
          <w:szCs w:val="20"/>
        </w:rPr>
        <w:t xml:space="preserve">some (not all) </w:t>
      </w:r>
      <w:r w:rsidR="0027415C">
        <w:rPr>
          <w:rFonts w:ascii="Palatino Linotype" w:hAnsi="Palatino Linotype"/>
          <w:sz w:val="20"/>
          <w:szCs w:val="20"/>
        </w:rPr>
        <w:t>tenor</w:t>
      </w:r>
      <w:r w:rsidR="00CF60A7">
        <w:rPr>
          <w:rFonts w:ascii="Palatino Linotype" w:hAnsi="Palatino Linotype"/>
          <w:sz w:val="20"/>
          <w:szCs w:val="20"/>
        </w:rPr>
        <w:t>s</w:t>
      </w:r>
      <w:r w:rsidR="00797FC4">
        <w:rPr>
          <w:rFonts w:ascii="Palatino Linotype" w:hAnsi="Palatino Linotype"/>
          <w:sz w:val="20"/>
          <w:szCs w:val="20"/>
        </w:rPr>
        <w:t>.</w:t>
      </w:r>
      <w:r w:rsidRPr="00F12F6B">
        <w:rPr>
          <w:rFonts w:ascii="Palatino Linotype" w:hAnsi="Palatino Linotype"/>
          <w:sz w:val="20"/>
          <w:szCs w:val="20"/>
        </w:rPr>
        <w:t xml:space="preserve"> </w:t>
      </w:r>
      <w:r w:rsidR="001F063B" w:rsidRPr="00F12F6B">
        <w:rPr>
          <w:rFonts w:ascii="Palatino Linotype" w:hAnsi="Palatino Linotype"/>
          <w:sz w:val="20"/>
          <w:szCs w:val="20"/>
        </w:rPr>
        <w:t xml:space="preserve">Just by looking at the errors plot, it seems that the model which underperforms the most is with </w:t>
      </w:r>
      <m:oMath>
        <m:r>
          <w:rPr>
            <w:rFonts w:ascii="Cambria Math" w:hAnsi="Cambria Math"/>
            <w:sz w:val="20"/>
            <w:szCs w:val="20"/>
          </w:rPr>
          <m:t>β=</m:t>
        </m:r>
        <m:r>
          <w:rPr>
            <w:rFonts w:ascii="Cambria Math" w:hAnsi="Cambria Math"/>
            <w:sz w:val="20"/>
            <w:szCs w:val="20"/>
          </w:rPr>
          <m:t>0</m:t>
        </m:r>
      </m:oMath>
      <w:r w:rsidR="001F063B" w:rsidRPr="00F12F6B">
        <w:rPr>
          <w:rFonts w:ascii="Palatino Linotype" w:hAnsi="Palatino Linotype"/>
          <w:sz w:val="20"/>
          <w:szCs w:val="20"/>
        </w:rPr>
        <w:t xml:space="preserve">, </w:t>
      </w:r>
      <w:r w:rsidR="001E55BF">
        <w:rPr>
          <w:rFonts w:ascii="Palatino Linotype" w:hAnsi="Palatino Linotype"/>
          <w:sz w:val="20"/>
          <w:szCs w:val="20"/>
        </w:rPr>
        <w:t xml:space="preserve">especially on </w:t>
      </w:r>
      <w:r w:rsidR="001E55BF">
        <w:rPr>
          <w:rFonts w:ascii="Palatino Linotype" w:hAnsi="Palatino Linotype"/>
          <w:sz w:val="20"/>
          <w:szCs w:val="20"/>
        </w:rPr>
        <w:t xml:space="preserve">Coffee and Gold, </w:t>
      </w:r>
      <w:r w:rsidR="001F063B" w:rsidRPr="00F12F6B">
        <w:rPr>
          <w:rFonts w:ascii="Palatino Linotype" w:hAnsi="Palatino Linotype"/>
          <w:sz w:val="20"/>
          <w:szCs w:val="20"/>
        </w:rPr>
        <w:t xml:space="preserve">whereas </w:t>
      </w:r>
      <w:r w:rsidR="001E55BF">
        <w:rPr>
          <w:rFonts w:ascii="Palatino Linotype" w:hAnsi="Palatino Linotype"/>
          <w:sz w:val="20"/>
          <w:szCs w:val="20"/>
        </w:rPr>
        <w:t xml:space="preserve">Normal model and </w:t>
      </w:r>
      <m:oMath>
        <m:r>
          <w:rPr>
            <w:rFonts w:ascii="Cambria Math" w:hAnsi="Cambria Math"/>
            <w:sz w:val="20"/>
            <w:szCs w:val="20"/>
          </w:rPr>
          <m:t>β=1</m:t>
        </m:r>
      </m:oMath>
      <w:r w:rsidR="001F063B" w:rsidRPr="00F12F6B">
        <w:rPr>
          <w:rFonts w:ascii="Palatino Linotype" w:hAnsi="Palatino Linotype"/>
          <w:sz w:val="20"/>
          <w:szCs w:val="20"/>
        </w:rPr>
        <w:t xml:space="preserve"> seem to perform </w:t>
      </w:r>
      <w:r w:rsidR="001E55BF">
        <w:rPr>
          <w:rFonts w:ascii="Palatino Linotype" w:hAnsi="Palatino Linotype"/>
          <w:sz w:val="20"/>
          <w:szCs w:val="20"/>
        </w:rPr>
        <w:t xml:space="preserve">significantly </w:t>
      </w:r>
      <w:r w:rsidR="001F063B" w:rsidRPr="00F12F6B">
        <w:rPr>
          <w:rFonts w:ascii="Palatino Linotype" w:hAnsi="Palatino Linotype"/>
          <w:sz w:val="20"/>
          <w:szCs w:val="20"/>
        </w:rPr>
        <w:t xml:space="preserve">better.  </w:t>
      </w:r>
    </w:p>
    <w:p w14:paraId="6E610481" w14:textId="76642DF4" w:rsidR="003469B6" w:rsidRDefault="001253AB" w:rsidP="006127CA">
      <w:pPr>
        <w:spacing w:line="360" w:lineRule="auto"/>
        <w:jc w:val="both"/>
        <w:rPr>
          <w:rFonts w:ascii="Palatino Linotype" w:hAnsi="Palatino Linotype"/>
          <w:sz w:val="20"/>
          <w:szCs w:val="20"/>
        </w:rPr>
      </w:pPr>
      <w:r>
        <w:rPr>
          <w:rFonts w:ascii="Palatino Linotype" w:hAnsi="Palatino Linotype"/>
          <w:sz w:val="20"/>
          <w:szCs w:val="20"/>
        </w:rPr>
        <w:t>The volatility surfaces are then plotted using</w:t>
      </w:r>
      <w:r w:rsidR="000B46BD">
        <w:rPr>
          <w:rFonts w:ascii="Palatino Linotype" w:hAnsi="Palatino Linotype"/>
          <w:sz w:val="20"/>
          <w:szCs w:val="20"/>
        </w:rPr>
        <w:t xml:space="preserve"> </w:t>
      </w:r>
      <m:oMath>
        <m:r>
          <w:rPr>
            <w:rFonts w:ascii="Cambria Math" w:hAnsi="Cambria Math"/>
            <w:sz w:val="20"/>
            <w:szCs w:val="20"/>
          </w:rPr>
          <m:t>ql.BlackVarianceSurface()</m:t>
        </m:r>
      </m:oMath>
      <w:r w:rsidR="000B46BD">
        <w:rPr>
          <w:rFonts w:ascii="Palatino Linotype" w:hAnsi="Palatino Linotype"/>
          <w:sz w:val="20"/>
          <w:szCs w:val="20"/>
        </w:rPr>
        <w:t xml:space="preserve">, </w:t>
      </w:r>
      <w:r w:rsidR="00723251">
        <w:rPr>
          <w:rFonts w:ascii="Palatino Linotype" w:hAnsi="Palatino Linotype"/>
          <w:sz w:val="20"/>
          <w:szCs w:val="20"/>
        </w:rPr>
        <w:t>together with</w:t>
      </w:r>
      <w:r w:rsidR="003469B6">
        <w:rPr>
          <w:rFonts w:ascii="Palatino Linotype" w:hAnsi="Palatino Linotype"/>
          <w:sz w:val="20"/>
          <w:szCs w:val="20"/>
        </w:rPr>
        <w:t xml:space="preserve"> </w:t>
      </w:r>
      <w:r w:rsidR="000B46BD">
        <w:rPr>
          <w:rFonts w:ascii="Palatino Linotype" w:hAnsi="Palatino Linotype"/>
          <w:sz w:val="20"/>
          <w:szCs w:val="20"/>
        </w:rPr>
        <w:t xml:space="preserve">volatility </w:t>
      </w:r>
      <w:r w:rsidR="003469B6">
        <w:rPr>
          <w:rFonts w:ascii="Palatino Linotype" w:hAnsi="Palatino Linotype"/>
          <w:sz w:val="20"/>
          <w:szCs w:val="20"/>
        </w:rPr>
        <w:t xml:space="preserve">smiles for a basket of </w:t>
      </w:r>
      <w:r w:rsidR="00723251">
        <w:rPr>
          <w:rFonts w:ascii="Palatino Linotype" w:hAnsi="Palatino Linotype"/>
          <w:sz w:val="20"/>
          <w:szCs w:val="20"/>
        </w:rPr>
        <w:t>tenors</w:t>
      </w:r>
      <w:r w:rsidR="003469B6">
        <w:rPr>
          <w:rFonts w:ascii="Palatino Linotype" w:hAnsi="Palatino Linotype"/>
          <w:sz w:val="20"/>
          <w:szCs w:val="20"/>
        </w:rPr>
        <w:t>.</w:t>
      </w:r>
    </w:p>
    <w:p w14:paraId="04B54F28" w14:textId="77777777" w:rsidR="003469B6" w:rsidRDefault="003469B6" w:rsidP="006127CA">
      <w:pPr>
        <w:spacing w:line="360" w:lineRule="auto"/>
        <w:jc w:val="both"/>
        <w:rPr>
          <w:rFonts w:ascii="Palatino Linotype" w:hAnsi="Palatino Linotype"/>
          <w:sz w:val="20"/>
          <w:szCs w:val="20"/>
        </w:rPr>
      </w:pPr>
    </w:p>
    <w:p w14:paraId="0FD2FFF2" w14:textId="574705B1" w:rsidR="003469B6" w:rsidRDefault="003469B6" w:rsidP="006127CA">
      <w:pPr>
        <w:spacing w:line="360" w:lineRule="auto"/>
        <w:jc w:val="both"/>
        <w:rPr>
          <w:rFonts w:ascii="Palatino Linotype" w:hAnsi="Palatino Linotype"/>
          <w:sz w:val="20"/>
          <w:szCs w:val="20"/>
        </w:rPr>
      </w:pPr>
      <w:r>
        <w:rPr>
          <w:rFonts w:ascii="Palatino Linotype" w:hAnsi="Palatino Linotype"/>
          <w:sz w:val="20"/>
          <w:szCs w:val="20"/>
        </w:rPr>
        <w:t>FIGURE(SABR volatility surfaces)</w:t>
      </w:r>
    </w:p>
    <w:p w14:paraId="2CB1AE66" w14:textId="56518F18" w:rsidR="003469B6" w:rsidRDefault="003469B6" w:rsidP="006127CA">
      <w:pPr>
        <w:spacing w:line="360" w:lineRule="auto"/>
        <w:jc w:val="both"/>
        <w:rPr>
          <w:rFonts w:ascii="Palatino Linotype" w:hAnsi="Palatino Linotype"/>
          <w:sz w:val="20"/>
          <w:szCs w:val="20"/>
        </w:rPr>
      </w:pPr>
      <w:r>
        <w:rPr>
          <w:rFonts w:ascii="Palatino Linotype" w:hAnsi="Palatino Linotype"/>
          <w:sz w:val="20"/>
          <w:szCs w:val="20"/>
        </w:rPr>
        <w:t>FIGURE(SABR volatility smiles comparison)</w:t>
      </w:r>
    </w:p>
    <w:p w14:paraId="1639FF97" w14:textId="26B3B616" w:rsidR="003469B6" w:rsidRDefault="003469B6" w:rsidP="006127CA">
      <w:pPr>
        <w:spacing w:line="360" w:lineRule="auto"/>
        <w:jc w:val="both"/>
        <w:rPr>
          <w:rFonts w:ascii="Palatino Linotype" w:hAnsi="Palatino Linotype"/>
          <w:sz w:val="20"/>
          <w:szCs w:val="20"/>
        </w:rPr>
      </w:pPr>
    </w:p>
    <w:p w14:paraId="72E1A368" w14:textId="0EA7AE99" w:rsidR="006B38AC" w:rsidRDefault="00611FD8" w:rsidP="006127CA">
      <w:pPr>
        <w:spacing w:line="360" w:lineRule="auto"/>
        <w:jc w:val="both"/>
        <w:rPr>
          <w:rFonts w:ascii="Palatino Linotype" w:hAnsi="Palatino Linotype"/>
          <w:sz w:val="20"/>
          <w:szCs w:val="20"/>
        </w:rPr>
      </w:pPr>
      <w:r w:rsidRPr="002076B9">
        <w:rPr>
          <w:rFonts w:ascii="Palatino Linotype" w:hAnsi="Palatino Linotype"/>
          <w:sz w:val="20"/>
          <w:szCs w:val="20"/>
        </w:rPr>
        <w:t>As expected,</w:t>
      </w:r>
      <w:r w:rsidR="008A08FF">
        <w:rPr>
          <w:rFonts w:ascii="Palatino Linotype" w:hAnsi="Palatino Linotype"/>
          <w:sz w:val="20"/>
          <w:szCs w:val="20"/>
        </w:rPr>
        <w:t xml:space="preserve"> SABR models with </w:t>
      </w:r>
      <m:oMath>
        <m:r>
          <w:rPr>
            <w:rFonts w:ascii="Cambria Math" w:hAnsi="Cambria Math"/>
            <w:sz w:val="20"/>
            <w:szCs w:val="20"/>
          </w:rPr>
          <m:t>β∈(</m:t>
        </m:r>
        <m:r>
          <w:rPr>
            <w:rFonts w:ascii="Cambria Math" w:hAnsi="Cambria Math"/>
            <w:sz w:val="20"/>
            <w:szCs w:val="20"/>
          </w:rPr>
          <m:t>.5</m:t>
        </m:r>
        <m:r>
          <w:rPr>
            <w:rFonts w:ascii="Cambria Math" w:hAnsi="Cambria Math"/>
            <w:sz w:val="20"/>
            <w:szCs w:val="20"/>
          </w:rPr>
          <m:t>,0)</m:t>
        </m:r>
        <m:r>
          <w:rPr>
            <w:rFonts w:ascii="Cambria Math" w:hAnsi="Cambria Math"/>
            <w:sz w:val="20"/>
            <w:szCs w:val="20"/>
          </w:rPr>
          <m:t xml:space="preserve"> </m:t>
        </m:r>
      </m:oMath>
      <w:r w:rsidR="00884713" w:rsidRPr="002076B9">
        <w:rPr>
          <w:rFonts w:ascii="Palatino Linotype" w:hAnsi="Palatino Linotype"/>
          <w:sz w:val="20"/>
          <w:szCs w:val="20"/>
        </w:rPr>
        <w:t xml:space="preserve">are </w:t>
      </w:r>
      <w:r w:rsidR="00CD66C7" w:rsidRPr="002076B9">
        <w:rPr>
          <w:rFonts w:ascii="Palatino Linotype" w:hAnsi="Palatino Linotype"/>
          <w:sz w:val="20"/>
          <w:szCs w:val="20"/>
        </w:rPr>
        <w:t xml:space="preserve">more accurate </w:t>
      </w:r>
      <w:r w:rsidR="00D5015D">
        <w:rPr>
          <w:rFonts w:ascii="Palatino Linotype" w:hAnsi="Palatino Linotype"/>
          <w:sz w:val="20"/>
          <w:szCs w:val="20"/>
        </w:rPr>
        <w:t xml:space="preserve">with a very light difference </w:t>
      </w:r>
      <w:r w:rsidR="00414FDD">
        <w:rPr>
          <w:rFonts w:ascii="Palatino Linotype" w:hAnsi="Palatino Linotype"/>
          <w:sz w:val="20"/>
          <w:szCs w:val="20"/>
        </w:rPr>
        <w:t>with respect to</w:t>
      </w:r>
      <w:r w:rsidR="00D5015D">
        <w:rPr>
          <w:rFonts w:ascii="Palatino Linotype" w:hAnsi="Palatino Linotype"/>
          <w:sz w:val="20"/>
          <w:szCs w:val="20"/>
        </w:rPr>
        <w:t xml:space="preserve"> slope and curvature of smiles</w:t>
      </w:r>
      <w:r w:rsidR="004205CA" w:rsidRPr="002076B9">
        <w:rPr>
          <w:rFonts w:ascii="Palatino Linotype" w:hAnsi="Palatino Linotype"/>
          <w:sz w:val="20"/>
          <w:szCs w:val="20"/>
        </w:rPr>
        <w:t xml:space="preserve">. </w:t>
      </w:r>
      <w:r w:rsidR="001A6235">
        <w:rPr>
          <w:rFonts w:ascii="Palatino Linotype" w:hAnsi="Palatino Linotype"/>
          <w:sz w:val="20"/>
          <w:szCs w:val="20"/>
        </w:rPr>
        <w:t>The sharpness of smiles is the effect to why the Normal model performs bad on both Coffee and Gold</w:t>
      </w:r>
      <w:r w:rsidR="003939F0" w:rsidRPr="002076B9">
        <w:rPr>
          <w:rFonts w:ascii="Palatino Linotype" w:hAnsi="Palatino Linotype"/>
          <w:sz w:val="20"/>
          <w:szCs w:val="20"/>
        </w:rPr>
        <w:t>.</w:t>
      </w:r>
      <w:r w:rsidR="003939F0">
        <w:rPr>
          <w:rFonts w:ascii="Palatino Linotype" w:hAnsi="Palatino Linotype"/>
          <w:sz w:val="20"/>
          <w:szCs w:val="20"/>
        </w:rPr>
        <w:t xml:space="preserve"> </w:t>
      </w:r>
      <w:r w:rsidR="001A6235">
        <w:rPr>
          <w:rFonts w:ascii="Palatino Linotype" w:hAnsi="Palatino Linotype"/>
          <w:sz w:val="20"/>
          <w:szCs w:val="20"/>
        </w:rPr>
        <w:t>In particular, the surface on Coffee returns with a V looking shape across</w:t>
      </w:r>
      <w:r w:rsidR="000C4765">
        <w:rPr>
          <w:rFonts w:ascii="Palatino Linotype" w:hAnsi="Palatino Linotype"/>
          <w:sz w:val="20"/>
          <w:szCs w:val="20"/>
        </w:rPr>
        <w:t xml:space="preserve"> the entire plot</w:t>
      </w:r>
      <w:r w:rsidR="007D16D6">
        <w:rPr>
          <w:rFonts w:ascii="Palatino Linotype" w:hAnsi="Palatino Linotype"/>
          <w:sz w:val="20"/>
          <w:szCs w:val="20"/>
        </w:rPr>
        <w:t xml:space="preserve"> which underperforms the most around ATM prices</w:t>
      </w:r>
      <w:r w:rsidR="000C4765">
        <w:rPr>
          <w:rFonts w:ascii="Palatino Linotype" w:hAnsi="Palatino Linotype"/>
          <w:sz w:val="20"/>
          <w:szCs w:val="20"/>
        </w:rPr>
        <w:t>.</w:t>
      </w:r>
    </w:p>
    <w:p w14:paraId="7EB0ED9E" w14:textId="77777777" w:rsidR="004B7B37" w:rsidRDefault="004B7B37" w:rsidP="006127CA">
      <w:pPr>
        <w:spacing w:line="360" w:lineRule="auto"/>
        <w:jc w:val="both"/>
        <w:rPr>
          <w:rFonts w:ascii="Palatino Linotype" w:hAnsi="Palatino Linotype"/>
          <w:sz w:val="20"/>
          <w:szCs w:val="20"/>
        </w:rPr>
      </w:pPr>
    </w:p>
    <w:p w14:paraId="7BBB057D" w14:textId="7544EA9E" w:rsidR="00EC56C9" w:rsidRPr="003A6FAB" w:rsidRDefault="00EC56C9" w:rsidP="006127CA">
      <w:pPr>
        <w:pStyle w:val="Heading3"/>
        <w:spacing w:line="360" w:lineRule="auto"/>
      </w:pPr>
      <w:r w:rsidRPr="003A6FAB">
        <w:t>Shifted SABR Model</w:t>
      </w:r>
    </w:p>
    <w:p w14:paraId="764ADB25" w14:textId="4426335C" w:rsidR="00EC56C9" w:rsidRDefault="00EF1BF6" w:rsidP="006127CA">
      <w:pPr>
        <w:spacing w:line="360" w:lineRule="auto"/>
        <w:jc w:val="both"/>
        <w:rPr>
          <w:rFonts w:ascii="Palatino Linotype" w:hAnsi="Palatino Linotype"/>
          <w:sz w:val="20"/>
          <w:szCs w:val="20"/>
        </w:rPr>
      </w:pPr>
      <w:r>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w:t>
      </w:r>
      <w:r w:rsidR="00A61601">
        <w:rPr>
          <w:rFonts w:ascii="Palatino Linotype" w:hAnsi="Palatino Linotype"/>
          <w:sz w:val="20"/>
          <w:szCs w:val="20"/>
        </w:rPr>
        <w:t>50</w:t>
      </w:r>
      <w:r>
        <w:rPr>
          <w:rFonts w:ascii="Palatino Linotype" w:hAnsi="Palatino Linotype"/>
          <w:sz w:val="20"/>
          <w:szCs w:val="20"/>
        </w:rPr>
        <w:t xml:space="preserve">% of the original values. The calibration process runs the same way aside from this difference. </w:t>
      </w:r>
      <w:r w:rsidR="00392172">
        <w:rPr>
          <w:rFonts w:ascii="Palatino Linotype" w:hAnsi="Palatino Linotype"/>
          <w:sz w:val="20"/>
          <w:szCs w:val="20"/>
        </w:rPr>
        <w:t>The tables for the parameters on each case with</w:t>
      </w:r>
      <w:r w:rsidR="005148C5">
        <w:rPr>
          <w:rFonts w:ascii="Palatino Linotype" w:hAnsi="Palatino Linotype"/>
          <w:sz w:val="20"/>
          <w:szCs w:val="20"/>
        </w:rPr>
        <w:t xml:space="preserve"> different</w:t>
      </w:r>
      <w:r w:rsidR="00392172">
        <w:rPr>
          <w:rFonts w:ascii="Palatino Linotype" w:hAnsi="Palatino Linotype"/>
          <w:sz w:val="20"/>
          <w:szCs w:val="20"/>
        </w:rPr>
        <w:t xml:space="preserve"> </w:t>
      </w:r>
      <m:oMath>
        <m:r>
          <w:rPr>
            <w:rFonts w:ascii="Cambria Math" w:hAnsi="Cambria Math"/>
            <w:sz w:val="20"/>
            <w:szCs w:val="20"/>
          </w:rPr>
          <m:t>β</m:t>
        </m:r>
      </m:oMath>
      <w:r w:rsidR="005148C5">
        <w:rPr>
          <w:rFonts w:ascii="Palatino Linotype" w:hAnsi="Palatino Linotype"/>
          <w:sz w:val="20"/>
          <w:szCs w:val="20"/>
        </w:rPr>
        <w:t xml:space="preserve"> values</w:t>
      </w:r>
      <w:r w:rsidR="00392172">
        <w:rPr>
          <w:rFonts w:ascii="Palatino Linotype" w:hAnsi="Palatino Linotype"/>
          <w:sz w:val="20"/>
          <w:szCs w:val="20"/>
        </w:rPr>
        <w:t xml:space="preserve"> are shown below together with</w:t>
      </w:r>
      <w:r w:rsidR="00C92A9F">
        <w:rPr>
          <w:rFonts w:ascii="Palatino Linotype" w:hAnsi="Palatino Linotype"/>
          <w:sz w:val="20"/>
          <w:szCs w:val="20"/>
        </w:rPr>
        <w:t xml:space="preserve"> </w:t>
      </w:r>
      <w:r w:rsidR="00392172">
        <w:rPr>
          <w:rFonts w:ascii="Palatino Linotype" w:hAnsi="Palatino Linotype"/>
          <w:sz w:val="20"/>
          <w:szCs w:val="20"/>
        </w:rPr>
        <w:t xml:space="preserve">charts. </w:t>
      </w:r>
    </w:p>
    <w:p w14:paraId="0A97F433" w14:textId="028010FD" w:rsidR="00B54118" w:rsidRDefault="00B54118" w:rsidP="006127CA">
      <w:pPr>
        <w:spacing w:line="360" w:lineRule="auto"/>
        <w:jc w:val="both"/>
        <w:rPr>
          <w:rFonts w:ascii="Palatino Linotype" w:hAnsi="Palatino Linotype"/>
          <w:sz w:val="20"/>
          <w:szCs w:val="20"/>
        </w:rPr>
      </w:pPr>
    </w:p>
    <w:p w14:paraId="51FC3958" w14:textId="0797E110" w:rsidR="00B54118" w:rsidRDefault="00B54118" w:rsidP="006127CA">
      <w:pPr>
        <w:spacing w:line="360" w:lineRule="auto"/>
        <w:jc w:val="both"/>
        <w:rPr>
          <w:rFonts w:ascii="Palatino Linotype" w:hAnsi="Palatino Linotype"/>
          <w:sz w:val="20"/>
          <w:szCs w:val="20"/>
        </w:rPr>
      </w:pPr>
      <w:r>
        <w:rPr>
          <w:rFonts w:ascii="Palatino Linotype" w:hAnsi="Palatino Linotype"/>
          <w:sz w:val="20"/>
          <w:szCs w:val="20"/>
        </w:rPr>
        <w:t>FIGURE(charts for parameters over time)</w:t>
      </w:r>
    </w:p>
    <w:p w14:paraId="68A1D636" w14:textId="23A3C6B0" w:rsidR="00963C32" w:rsidRDefault="00963C32" w:rsidP="006127CA">
      <w:pPr>
        <w:spacing w:line="360" w:lineRule="auto"/>
        <w:jc w:val="both"/>
        <w:rPr>
          <w:rFonts w:ascii="Palatino Linotype" w:hAnsi="Palatino Linotype"/>
          <w:sz w:val="20"/>
          <w:szCs w:val="20"/>
        </w:rPr>
      </w:pPr>
    </w:p>
    <w:p w14:paraId="1F1C2123" w14:textId="61032EA6" w:rsidR="00C87D61" w:rsidRDefault="00BF362A" w:rsidP="006127CA">
      <w:pPr>
        <w:spacing w:line="360" w:lineRule="auto"/>
        <w:jc w:val="both"/>
        <w:rPr>
          <w:rFonts w:ascii="Palatino Linotype" w:hAnsi="Palatino Linotype"/>
          <w:sz w:val="20"/>
          <w:szCs w:val="20"/>
        </w:rPr>
      </w:pPr>
      <w:r>
        <w:rPr>
          <w:rFonts w:ascii="Palatino Linotype" w:hAnsi="Palatino Linotype"/>
          <w:sz w:val="20"/>
          <w:szCs w:val="20"/>
        </w:rPr>
        <w:t>For all models and datasets</w:t>
      </w:r>
      <w:r w:rsidR="001F6758">
        <w:rPr>
          <w:rFonts w:ascii="Palatino Linotype" w:hAnsi="Palatino Linotype"/>
          <w:sz w:val="20"/>
          <w:szCs w:val="20"/>
        </w:rPr>
        <w:t xml:space="preserve">, we can see that all the parameters result in </w:t>
      </w:r>
      <w:r w:rsidR="003A7656">
        <w:rPr>
          <w:rFonts w:ascii="Palatino Linotype" w:hAnsi="Palatino Linotype"/>
          <w:sz w:val="20"/>
          <w:szCs w:val="20"/>
        </w:rPr>
        <w:t xml:space="preserve">a shift to the </w:t>
      </w:r>
      <w:r w:rsidR="00D571CA">
        <w:rPr>
          <w:rFonts w:ascii="Palatino Linotype" w:hAnsi="Palatino Linotype"/>
          <w:sz w:val="20"/>
          <w:szCs w:val="20"/>
        </w:rPr>
        <w:t>output</w:t>
      </w:r>
      <w:r w:rsidR="003A7656">
        <w:rPr>
          <w:rFonts w:ascii="Palatino Linotype" w:hAnsi="Palatino Linotype"/>
          <w:sz w:val="20"/>
          <w:szCs w:val="20"/>
        </w:rPr>
        <w:t xml:space="preserve"> function</w:t>
      </w:r>
      <w:r w:rsidR="00C45160">
        <w:rPr>
          <w:rFonts w:ascii="Palatino Linotype" w:hAnsi="Palatino Linotype"/>
          <w:sz w:val="20"/>
          <w:szCs w:val="20"/>
        </w:rPr>
        <w:t xml:space="preserve"> over time</w:t>
      </w:r>
      <w:r w:rsidR="003A7656">
        <w:rPr>
          <w:rFonts w:ascii="Palatino Linotype" w:hAnsi="Palatino Linotype"/>
          <w:sz w:val="20"/>
          <w:szCs w:val="20"/>
        </w:rPr>
        <w:t>,</w:t>
      </w:r>
      <w:r w:rsidR="00EC74C5">
        <w:rPr>
          <w:rFonts w:ascii="Palatino Linotype" w:hAnsi="Palatino Linotype"/>
          <w:sz w:val="20"/>
          <w:szCs w:val="20"/>
        </w:rPr>
        <w:t xml:space="preserve"> </w:t>
      </w:r>
      <w:r w:rsidR="003A7656">
        <w:rPr>
          <w:rFonts w:ascii="Palatino Linotype" w:hAnsi="Palatino Linotype"/>
          <w:sz w:val="20"/>
          <w:szCs w:val="20"/>
        </w:rPr>
        <w:t>while</w:t>
      </w:r>
      <w:r w:rsidR="0054712D">
        <w:rPr>
          <w:rFonts w:ascii="Palatino Linotype" w:hAnsi="Palatino Linotype"/>
          <w:sz w:val="20"/>
          <w:szCs w:val="20"/>
        </w:rPr>
        <w:t xml:space="preserve"> </w:t>
      </w:r>
      <w:r w:rsidR="00465D2B">
        <w:rPr>
          <w:rFonts w:ascii="Palatino Linotype" w:hAnsi="Palatino Linotype"/>
          <w:sz w:val="20"/>
          <w:szCs w:val="20"/>
        </w:rPr>
        <w:t>keeping</w:t>
      </w:r>
      <w:r w:rsidR="0054712D">
        <w:rPr>
          <w:rFonts w:ascii="Palatino Linotype" w:hAnsi="Palatino Linotype"/>
          <w:sz w:val="20"/>
          <w:szCs w:val="20"/>
        </w:rPr>
        <w:t xml:space="preserve"> the </w:t>
      </w:r>
      <w:r w:rsidR="00350214">
        <w:rPr>
          <w:rFonts w:ascii="Palatino Linotype" w:hAnsi="Palatino Linotype"/>
          <w:sz w:val="20"/>
          <w:szCs w:val="20"/>
        </w:rPr>
        <w:t>original model</w:t>
      </w:r>
      <w:r w:rsidR="0054712D">
        <w:rPr>
          <w:rFonts w:ascii="Palatino Linotype" w:hAnsi="Palatino Linotype"/>
          <w:sz w:val="20"/>
          <w:szCs w:val="20"/>
        </w:rPr>
        <w:t xml:space="preserve"> </w:t>
      </w:r>
      <w:r w:rsidR="00465D2B">
        <w:rPr>
          <w:rFonts w:ascii="Palatino Linotype" w:hAnsi="Palatino Linotype"/>
          <w:sz w:val="20"/>
          <w:szCs w:val="20"/>
        </w:rPr>
        <w:t>behavior</w:t>
      </w:r>
      <w:r w:rsidR="001F6758">
        <w:rPr>
          <w:rFonts w:ascii="Palatino Linotype" w:hAnsi="Palatino Linotype"/>
          <w:sz w:val="20"/>
          <w:szCs w:val="20"/>
        </w:rPr>
        <w:t xml:space="preserve">. </w:t>
      </w:r>
      <w:r w:rsidR="003D42F1">
        <w:rPr>
          <w:rFonts w:ascii="Palatino Linotype" w:hAnsi="Palatino Linotype"/>
          <w:sz w:val="20"/>
          <w:szCs w:val="20"/>
        </w:rPr>
        <w:t>The error</w:t>
      </w:r>
      <w:r w:rsidR="00EC74C5">
        <w:rPr>
          <w:rFonts w:ascii="Palatino Linotype" w:hAnsi="Palatino Linotype"/>
          <w:sz w:val="20"/>
          <w:szCs w:val="20"/>
        </w:rPr>
        <w:t xml:space="preserve">s plot show that that there is no </w:t>
      </w:r>
      <w:r w:rsidR="00E26BA4">
        <w:rPr>
          <w:rFonts w:ascii="Palatino Linotype" w:hAnsi="Palatino Linotype"/>
          <w:sz w:val="20"/>
          <w:szCs w:val="20"/>
        </w:rPr>
        <w:t>large</w:t>
      </w:r>
      <w:r w:rsidR="00EC74C5">
        <w:rPr>
          <w:rFonts w:ascii="Palatino Linotype" w:hAnsi="Palatino Linotype"/>
          <w:sz w:val="20"/>
          <w:szCs w:val="20"/>
        </w:rPr>
        <w:t xml:space="preserve"> difference between the two shifted and</w:t>
      </w:r>
      <w:r w:rsidR="003D42F1">
        <w:rPr>
          <w:rFonts w:ascii="Palatino Linotype" w:hAnsi="Palatino Linotype"/>
          <w:sz w:val="20"/>
          <w:szCs w:val="20"/>
        </w:rPr>
        <w:t xml:space="preserve"> non-shifted SABR model</w:t>
      </w:r>
      <w:r w:rsidR="00EC74C5">
        <w:rPr>
          <w:rFonts w:ascii="Palatino Linotype" w:hAnsi="Palatino Linotype"/>
          <w:sz w:val="20"/>
          <w:szCs w:val="20"/>
        </w:rPr>
        <w:t>s</w:t>
      </w:r>
      <w:r w:rsidR="003D42F1">
        <w:rPr>
          <w:rFonts w:ascii="Palatino Linotype" w:hAnsi="Palatino Linotype"/>
          <w:sz w:val="20"/>
          <w:szCs w:val="20"/>
        </w:rPr>
        <w:t xml:space="preserve">. </w:t>
      </w:r>
      <w:r w:rsidR="00AB3D8E">
        <w:rPr>
          <w:rFonts w:ascii="Palatino Linotype" w:hAnsi="Palatino Linotype"/>
          <w:sz w:val="20"/>
          <w:szCs w:val="20"/>
        </w:rPr>
        <w:t>In particular,</w:t>
      </w:r>
      <w:r w:rsidR="00C87D61">
        <w:rPr>
          <w:rFonts w:ascii="Palatino Linotype" w:hAnsi="Palatino Linotype"/>
          <w:sz w:val="20"/>
          <w:szCs w:val="20"/>
        </w:rPr>
        <w:t xml:space="preserve"> </w:t>
      </w:r>
      <w:r w:rsidR="00AB3D8E">
        <w:rPr>
          <w:rFonts w:ascii="Palatino Linotype" w:hAnsi="Palatino Linotype"/>
          <w:sz w:val="20"/>
          <w:szCs w:val="20"/>
        </w:rPr>
        <w:t>it can be</w:t>
      </w:r>
      <w:r w:rsidR="00C87D61">
        <w:rPr>
          <w:rFonts w:ascii="Palatino Linotype" w:hAnsi="Palatino Linotype"/>
          <w:sz w:val="20"/>
          <w:szCs w:val="20"/>
        </w:rPr>
        <w:t xml:space="preserve"> see</w:t>
      </w:r>
      <w:r w:rsidR="00AB3D8E">
        <w:rPr>
          <w:rFonts w:ascii="Palatino Linotype" w:hAnsi="Palatino Linotype"/>
          <w:sz w:val="20"/>
          <w:szCs w:val="20"/>
        </w:rPr>
        <w:t>n</w:t>
      </w:r>
      <w:r w:rsidR="00C87D61">
        <w:rPr>
          <w:rFonts w:ascii="Palatino Linotype" w:hAnsi="Palatino Linotype"/>
          <w:sz w:val="20"/>
          <w:szCs w:val="20"/>
        </w:rPr>
        <w:t xml:space="preserve"> that the largest differences in behavior of smiles are shown in the Normal SABR model, where the shift does change drastically</w:t>
      </w:r>
      <w:r w:rsidR="00395064">
        <w:rPr>
          <w:rFonts w:ascii="Palatino Linotype" w:hAnsi="Palatino Linotype"/>
          <w:sz w:val="20"/>
          <w:szCs w:val="20"/>
        </w:rPr>
        <w:t xml:space="preserve">, fitting </w:t>
      </w:r>
      <w:r w:rsidR="00C87D61">
        <w:rPr>
          <w:rFonts w:ascii="Palatino Linotype" w:hAnsi="Palatino Linotype"/>
          <w:sz w:val="20"/>
          <w:szCs w:val="20"/>
        </w:rPr>
        <w:t xml:space="preserve">well the data for some tenors, whilst </w:t>
      </w:r>
      <w:r w:rsidR="00395064">
        <w:rPr>
          <w:rFonts w:ascii="Palatino Linotype" w:hAnsi="Palatino Linotype"/>
          <w:sz w:val="20"/>
          <w:szCs w:val="20"/>
        </w:rPr>
        <w:t>still presenting</w:t>
      </w:r>
      <w:r w:rsidR="00395064">
        <w:rPr>
          <w:rFonts w:ascii="Palatino Linotype" w:hAnsi="Palatino Linotype"/>
          <w:sz w:val="20"/>
          <w:szCs w:val="20"/>
        </w:rPr>
        <w:t xml:space="preserve"> the classic “V shape”</w:t>
      </w:r>
      <w:r w:rsidR="00395064">
        <w:rPr>
          <w:rFonts w:ascii="Palatino Linotype" w:hAnsi="Palatino Linotype"/>
          <w:sz w:val="20"/>
          <w:szCs w:val="20"/>
        </w:rPr>
        <w:t xml:space="preserve"> </w:t>
      </w:r>
      <w:r w:rsidR="00C87D61">
        <w:rPr>
          <w:rFonts w:ascii="Palatino Linotype" w:hAnsi="Palatino Linotype"/>
          <w:sz w:val="20"/>
          <w:szCs w:val="20"/>
        </w:rPr>
        <w:t>for other tenors.</w:t>
      </w:r>
    </w:p>
    <w:p w14:paraId="5D0A0515" w14:textId="640B4327" w:rsidR="00963C32" w:rsidRDefault="00187BD0" w:rsidP="006127CA">
      <w:pPr>
        <w:spacing w:line="360" w:lineRule="auto"/>
        <w:jc w:val="both"/>
        <w:rPr>
          <w:rFonts w:ascii="Palatino Linotype" w:hAnsi="Palatino Linotype"/>
          <w:sz w:val="20"/>
          <w:szCs w:val="20"/>
        </w:rPr>
      </w:pPr>
      <w:r>
        <w:rPr>
          <w:rFonts w:ascii="Palatino Linotype" w:hAnsi="Palatino Linotype"/>
          <w:sz w:val="20"/>
          <w:szCs w:val="20"/>
        </w:rPr>
        <w:t xml:space="preserve">As expected, </w:t>
      </w:r>
      <w:r w:rsidR="00F314C1">
        <w:rPr>
          <w:rFonts w:ascii="Palatino Linotype" w:hAnsi="Palatino Linotype"/>
          <w:sz w:val="20"/>
          <w:szCs w:val="20"/>
        </w:rPr>
        <w:t xml:space="preserve">the volatility surfaces plot </w:t>
      </w:r>
      <w:r w:rsidR="007C5B79">
        <w:rPr>
          <w:rFonts w:ascii="Palatino Linotype" w:hAnsi="Palatino Linotype"/>
          <w:sz w:val="20"/>
          <w:szCs w:val="20"/>
        </w:rPr>
        <w:t>shows no</w:t>
      </w:r>
      <w:r w:rsidR="00F314C1">
        <w:rPr>
          <w:rFonts w:ascii="Palatino Linotype" w:hAnsi="Palatino Linotype"/>
          <w:sz w:val="20"/>
          <w:szCs w:val="20"/>
        </w:rPr>
        <w:t xml:space="preserve"> large differences</w:t>
      </w:r>
      <w:r w:rsidR="00AB0674">
        <w:rPr>
          <w:rFonts w:ascii="Palatino Linotype" w:hAnsi="Palatino Linotype"/>
          <w:sz w:val="20"/>
          <w:szCs w:val="20"/>
        </w:rPr>
        <w:t xml:space="preserve"> between models</w:t>
      </w:r>
      <w:r w:rsidR="00F314C1">
        <w:rPr>
          <w:rFonts w:ascii="Palatino Linotype" w:hAnsi="Palatino Linotype"/>
          <w:sz w:val="20"/>
          <w:szCs w:val="20"/>
        </w:rPr>
        <w:t xml:space="preserve">. </w:t>
      </w:r>
    </w:p>
    <w:p w14:paraId="2DC9ACF4" w14:textId="2CFCE848" w:rsidR="00F314C1" w:rsidRPr="00C8131B" w:rsidRDefault="00F314C1" w:rsidP="006127CA">
      <w:pPr>
        <w:spacing w:line="360" w:lineRule="auto"/>
        <w:jc w:val="both"/>
        <w:rPr>
          <w:rFonts w:ascii="Palatino Linotype" w:hAnsi="Palatino Linotype"/>
          <w:sz w:val="20"/>
          <w:szCs w:val="20"/>
        </w:rPr>
      </w:pPr>
    </w:p>
    <w:p w14:paraId="60E30B70" w14:textId="6EAE6325" w:rsidR="00C8131B" w:rsidRPr="00C8131B" w:rsidRDefault="00C8131B" w:rsidP="006127C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surfaces for Shifted </w:t>
      </w:r>
      <w:proofErr w:type="spellStart"/>
      <w:r w:rsidRPr="00C8131B">
        <w:rPr>
          <w:rFonts w:ascii="Palatino Linotype" w:hAnsi="Palatino Linotype"/>
          <w:sz w:val="20"/>
          <w:szCs w:val="20"/>
        </w:rPr>
        <w:t>sabr</w:t>
      </w:r>
      <w:proofErr w:type="spellEnd"/>
      <w:r w:rsidRPr="00C8131B">
        <w:rPr>
          <w:rFonts w:ascii="Palatino Linotype" w:hAnsi="Palatino Linotype"/>
          <w:sz w:val="20"/>
          <w:szCs w:val="20"/>
        </w:rPr>
        <w:t xml:space="preserve"> models)</w:t>
      </w:r>
    </w:p>
    <w:p w14:paraId="738E1212" w14:textId="259C9FBC" w:rsidR="00C8131B" w:rsidRDefault="00C8131B" w:rsidP="006127C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Pr>
          <w:rFonts w:ascii="Palatino Linotype" w:hAnsi="Palatino Linotype"/>
          <w:sz w:val="20"/>
          <w:szCs w:val="20"/>
        </w:rPr>
        <w:t>smiles</w:t>
      </w:r>
      <w:r w:rsidRPr="00C8131B">
        <w:rPr>
          <w:rFonts w:ascii="Palatino Linotype" w:hAnsi="Palatino Linotype"/>
          <w:sz w:val="20"/>
          <w:szCs w:val="20"/>
        </w:rPr>
        <w:t xml:space="preserve"> for Shifted </w:t>
      </w:r>
      <w:proofErr w:type="spellStart"/>
      <w:r w:rsidRPr="00C8131B">
        <w:rPr>
          <w:rFonts w:ascii="Palatino Linotype" w:hAnsi="Palatino Linotype"/>
          <w:sz w:val="20"/>
          <w:szCs w:val="20"/>
        </w:rPr>
        <w:t>sabr</w:t>
      </w:r>
      <w:proofErr w:type="spellEnd"/>
      <w:r w:rsidRPr="00C8131B">
        <w:rPr>
          <w:rFonts w:ascii="Palatino Linotype" w:hAnsi="Palatino Linotype"/>
          <w:sz w:val="20"/>
          <w:szCs w:val="20"/>
        </w:rPr>
        <w:t xml:space="preserve"> models)</w:t>
      </w:r>
    </w:p>
    <w:p w14:paraId="04A8C4CB" w14:textId="77777777" w:rsidR="00AA52D8" w:rsidRPr="00C8131B" w:rsidRDefault="00AA52D8" w:rsidP="006127CA">
      <w:pPr>
        <w:spacing w:line="360" w:lineRule="auto"/>
        <w:jc w:val="both"/>
        <w:rPr>
          <w:rFonts w:ascii="Palatino Linotype" w:hAnsi="Palatino Linotype"/>
          <w:sz w:val="20"/>
          <w:szCs w:val="20"/>
        </w:rPr>
      </w:pPr>
    </w:p>
    <w:p w14:paraId="30C6025E" w14:textId="439196C6" w:rsidR="00EC56C9" w:rsidRDefault="00EC56C9" w:rsidP="006127CA">
      <w:pPr>
        <w:pStyle w:val="Heading3"/>
        <w:spacing w:line="360" w:lineRule="auto"/>
      </w:pPr>
      <w:r>
        <w:t>Free-Boundary SABR Model</w:t>
      </w:r>
    </w:p>
    <w:p w14:paraId="2A495523" w14:textId="084AC679" w:rsidR="00EC56C9" w:rsidRDefault="00801B6A" w:rsidP="006127CA">
      <w:pPr>
        <w:spacing w:line="360" w:lineRule="auto"/>
        <w:jc w:val="both"/>
        <w:rPr>
          <w:rFonts w:ascii="Palatino Linotype" w:hAnsi="Palatino Linotype"/>
          <w:color w:val="202124"/>
          <w:sz w:val="20"/>
          <w:szCs w:val="20"/>
        </w:rPr>
      </w:pPr>
      <w:r>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Pr>
          <w:rFonts w:ascii="Palatino Linotype" w:hAnsi="Palatino Linotype"/>
          <w:sz w:val="20"/>
          <w:szCs w:val="20"/>
        </w:rPr>
        <w:t xml:space="preserve"> which </w:t>
      </w:r>
      <w:r w:rsidR="00111672">
        <w:rPr>
          <w:rFonts w:ascii="Palatino Linotype" w:hAnsi="Palatino Linotype"/>
          <w:sz w:val="20"/>
          <w:szCs w:val="20"/>
        </w:rPr>
        <w:t xml:space="preserve">relies on the </w:t>
      </w:r>
      <w:r w:rsidR="00111672" w:rsidRPr="00803F50">
        <w:rPr>
          <w:rFonts w:ascii="Palatino Linotype" w:hAnsi="Palatino Linotype"/>
          <w:color w:val="202124"/>
          <w:sz w:val="20"/>
          <w:szCs w:val="20"/>
        </w:rPr>
        <w:t>TR-BDF2</w:t>
      </w:r>
      <w:r w:rsidR="00111672">
        <w:rPr>
          <w:rFonts w:ascii="Palatino Linotype" w:hAnsi="Palatino Linotype"/>
          <w:color w:val="202124"/>
          <w:sz w:val="20"/>
          <w:szCs w:val="20"/>
        </w:rPr>
        <w:t xml:space="preserve"> algorithm for </w:t>
      </w:r>
      <w:r w:rsidR="00A5486B">
        <w:rPr>
          <w:rFonts w:ascii="Palatino Linotype" w:hAnsi="Palatino Linotype"/>
          <w:color w:val="202124"/>
          <w:sz w:val="20"/>
          <w:szCs w:val="20"/>
        </w:rPr>
        <w:t>calibration</w:t>
      </w:r>
      <w:r w:rsidR="000B5832">
        <w:rPr>
          <w:rFonts w:ascii="Palatino Linotype" w:hAnsi="Palatino Linotype"/>
          <w:color w:val="202124"/>
          <w:sz w:val="20"/>
          <w:szCs w:val="20"/>
        </w:rPr>
        <w:t xml:space="preserve"> which has been presented in the previous chapter. </w:t>
      </w:r>
      <w:r w:rsidR="00666611">
        <w:rPr>
          <w:rFonts w:ascii="Palatino Linotype" w:hAnsi="Palatino Linotype"/>
          <w:color w:val="202124"/>
          <w:sz w:val="20"/>
          <w:szCs w:val="20"/>
        </w:rPr>
        <w:t xml:space="preserve">We </w:t>
      </w:r>
      <w:r w:rsidR="00561621">
        <w:rPr>
          <w:rFonts w:ascii="Palatino Linotype" w:hAnsi="Palatino Linotype"/>
          <w:color w:val="202124"/>
          <w:sz w:val="20"/>
          <w:szCs w:val="20"/>
        </w:rPr>
        <w:t>setup</w:t>
      </w:r>
      <w:r w:rsidR="00666611">
        <w:rPr>
          <w:rFonts w:ascii="Palatino Linotype" w:hAnsi="Palatino Linotype"/>
          <w:color w:val="202124"/>
          <w:sz w:val="20"/>
          <w:szCs w:val="20"/>
        </w:rPr>
        <w:t xml:space="preserve"> the model in a similar </w:t>
      </w:r>
      <w:r w:rsidR="00666611">
        <w:rPr>
          <w:rFonts w:ascii="Palatino Linotype" w:hAnsi="Palatino Linotype"/>
          <w:color w:val="202124"/>
          <w:sz w:val="20"/>
          <w:szCs w:val="20"/>
        </w:rPr>
        <w:lastRenderedPageBreak/>
        <w:t xml:space="preserve">way to what was done for the classic SABR </w:t>
      </w:r>
      <w:r w:rsidR="00AA52D8">
        <w:rPr>
          <w:rFonts w:ascii="Palatino Linotype" w:hAnsi="Palatino Linotype"/>
          <w:color w:val="202124"/>
          <w:sz w:val="20"/>
          <w:szCs w:val="20"/>
        </w:rPr>
        <w:t>model</w:t>
      </w:r>
      <w:r w:rsidR="00626A7D">
        <w:rPr>
          <w:rFonts w:ascii="Palatino Linotype" w:hAnsi="Palatino Linotype"/>
          <w:color w:val="202124"/>
          <w:sz w:val="20"/>
          <w:szCs w:val="20"/>
        </w:rPr>
        <w:t>,</w:t>
      </w:r>
      <w:r w:rsidR="00AA52D8">
        <w:rPr>
          <w:rFonts w:ascii="Palatino Linotype" w:hAnsi="Palatino Linotype"/>
          <w:color w:val="202124"/>
          <w:sz w:val="20"/>
          <w:szCs w:val="20"/>
        </w:rPr>
        <w:t xml:space="preserve"> </w:t>
      </w:r>
      <w:r w:rsidR="00626A7D">
        <w:rPr>
          <w:rFonts w:ascii="Palatino Linotype" w:hAnsi="Palatino Linotype"/>
          <w:color w:val="202124"/>
          <w:sz w:val="20"/>
          <w:szCs w:val="20"/>
        </w:rPr>
        <w:t>with the difference of</w:t>
      </w:r>
      <w:r w:rsidR="00666611">
        <w:rPr>
          <w:rFonts w:ascii="Palatino Linotype" w:hAnsi="Palatino Linotype"/>
          <w:color w:val="202124"/>
          <w:sz w:val="20"/>
          <w:szCs w:val="20"/>
        </w:rPr>
        <w:t xml:space="preserve"> minimizing the objective function </w:t>
      </w:r>
      <w:r w:rsidR="00235E17">
        <w:rPr>
          <w:rFonts w:ascii="Palatino Linotype" w:hAnsi="Palatino Linotype"/>
          <w:color w:val="202124"/>
          <w:sz w:val="20"/>
          <w:szCs w:val="20"/>
        </w:rPr>
        <w:t>using</w:t>
      </w:r>
      <w:r w:rsidR="00666611">
        <w:rPr>
          <w:rFonts w:ascii="Palatino Linotype" w:hAnsi="Palatino Linotype"/>
          <w:color w:val="202124"/>
          <w:sz w:val="20"/>
          <w:szCs w:val="20"/>
        </w:rPr>
        <w:t xml:space="preserve"> the </w:t>
      </w:r>
      <w:proofErr w:type="spellStart"/>
      <w:r w:rsidR="00666611">
        <w:rPr>
          <w:rFonts w:ascii="Palatino Linotype" w:hAnsi="Palatino Linotype"/>
          <w:color w:val="202124"/>
          <w:sz w:val="20"/>
          <w:szCs w:val="20"/>
        </w:rPr>
        <w:t>Floch</w:t>
      </w:r>
      <w:proofErr w:type="spellEnd"/>
      <w:r w:rsidR="00666611">
        <w:rPr>
          <w:rFonts w:ascii="Palatino Linotype" w:hAnsi="Palatino Linotype"/>
          <w:color w:val="202124"/>
          <w:sz w:val="20"/>
          <w:szCs w:val="20"/>
        </w:rPr>
        <w:t xml:space="preserve">-Kennedy approach. </w:t>
      </w:r>
      <w:r w:rsidR="00144E12">
        <w:rPr>
          <w:rFonts w:ascii="Palatino Linotype" w:hAnsi="Palatino Linotype"/>
          <w:color w:val="202124"/>
          <w:sz w:val="20"/>
          <w:szCs w:val="20"/>
        </w:rPr>
        <w:t>Results are shown below with tables and graphs.</w:t>
      </w:r>
    </w:p>
    <w:p w14:paraId="00C2F50F" w14:textId="77777777" w:rsidR="00144E12" w:rsidRDefault="00144E12" w:rsidP="006127CA">
      <w:pPr>
        <w:spacing w:line="360" w:lineRule="auto"/>
        <w:jc w:val="both"/>
        <w:rPr>
          <w:rFonts w:ascii="Palatino Linotype" w:hAnsi="Palatino Linotype"/>
          <w:color w:val="202124"/>
          <w:sz w:val="20"/>
          <w:szCs w:val="20"/>
        </w:rPr>
      </w:pPr>
    </w:p>
    <w:p w14:paraId="7C7A9DBE" w14:textId="37194193" w:rsidR="00144E12" w:rsidRPr="00C8131B" w:rsidRDefault="00144E12" w:rsidP="006127CA">
      <w:pPr>
        <w:spacing w:line="360" w:lineRule="auto"/>
        <w:jc w:val="both"/>
        <w:rPr>
          <w:rFonts w:ascii="Palatino Linotype" w:hAnsi="Palatino Linotype"/>
          <w:sz w:val="20"/>
          <w:szCs w:val="20"/>
        </w:rPr>
      </w:pPr>
      <w:r w:rsidRPr="00C8131B">
        <w:rPr>
          <w:rFonts w:ascii="Palatino Linotype" w:hAnsi="Palatino Linotype"/>
          <w:sz w:val="20"/>
          <w:szCs w:val="20"/>
        </w:rPr>
        <w:t>FIGURE(</w:t>
      </w:r>
      <w:r>
        <w:rPr>
          <w:rFonts w:ascii="Palatino Linotype" w:hAnsi="Palatino Linotype"/>
          <w:sz w:val="20"/>
          <w:szCs w:val="20"/>
        </w:rPr>
        <w:t xml:space="preserve">tables for parameters on </w:t>
      </w:r>
      <w:proofErr w:type="spellStart"/>
      <w:r>
        <w:rPr>
          <w:rFonts w:ascii="Palatino Linotype" w:hAnsi="Palatino Linotype"/>
          <w:sz w:val="20"/>
          <w:szCs w:val="20"/>
        </w:rPr>
        <w:t>floch-kennedy</w:t>
      </w:r>
      <w:proofErr w:type="spellEnd"/>
      <w:r w:rsidRPr="00C8131B">
        <w:rPr>
          <w:rFonts w:ascii="Palatino Linotype" w:hAnsi="Palatino Linotype"/>
          <w:sz w:val="20"/>
          <w:szCs w:val="20"/>
        </w:rPr>
        <w:t>)</w:t>
      </w:r>
    </w:p>
    <w:p w14:paraId="07026A67" w14:textId="7BDE66BA" w:rsidR="00144E12" w:rsidRDefault="00144E12" w:rsidP="006127CA">
      <w:pPr>
        <w:spacing w:line="360" w:lineRule="auto"/>
        <w:jc w:val="both"/>
        <w:rPr>
          <w:rFonts w:ascii="Palatino Linotype" w:hAnsi="Palatino Linotype"/>
          <w:sz w:val="20"/>
          <w:szCs w:val="20"/>
        </w:rPr>
      </w:pPr>
      <w:r w:rsidRPr="00C8131B">
        <w:rPr>
          <w:rFonts w:ascii="Palatino Linotype" w:hAnsi="Palatino Linotype"/>
          <w:sz w:val="20"/>
          <w:szCs w:val="20"/>
        </w:rPr>
        <w:t>FIGURE(</w:t>
      </w:r>
      <w:r>
        <w:rPr>
          <w:rFonts w:ascii="Palatino Linotype" w:hAnsi="Palatino Linotype"/>
          <w:sz w:val="20"/>
          <w:szCs w:val="20"/>
        </w:rPr>
        <w:t xml:space="preserve">graphs for parameters on </w:t>
      </w:r>
      <w:proofErr w:type="spellStart"/>
      <w:r>
        <w:rPr>
          <w:rFonts w:ascii="Palatino Linotype" w:hAnsi="Palatino Linotype"/>
          <w:sz w:val="20"/>
          <w:szCs w:val="20"/>
        </w:rPr>
        <w:t>floch-kennedy</w:t>
      </w:r>
      <w:proofErr w:type="spellEnd"/>
      <w:r w:rsidRPr="00C8131B">
        <w:rPr>
          <w:rFonts w:ascii="Palatino Linotype" w:hAnsi="Palatino Linotype"/>
          <w:sz w:val="20"/>
          <w:szCs w:val="20"/>
        </w:rPr>
        <w:t>)</w:t>
      </w:r>
    </w:p>
    <w:p w14:paraId="1E17E396" w14:textId="77777777" w:rsidR="00D30982" w:rsidRDefault="00D30982" w:rsidP="006127CA">
      <w:pPr>
        <w:spacing w:line="360" w:lineRule="auto"/>
        <w:jc w:val="both"/>
        <w:rPr>
          <w:rFonts w:ascii="Palatino Linotype" w:hAnsi="Palatino Linotype"/>
          <w:sz w:val="20"/>
          <w:szCs w:val="20"/>
        </w:rPr>
      </w:pPr>
    </w:p>
    <w:p w14:paraId="5D0ABCBC" w14:textId="42FE814F" w:rsidR="00AA52D8" w:rsidRDefault="00144E12" w:rsidP="006127CA">
      <w:pPr>
        <w:spacing w:line="360" w:lineRule="auto"/>
        <w:jc w:val="both"/>
        <w:rPr>
          <w:rFonts w:ascii="Palatino Linotype" w:hAnsi="Palatino Linotype"/>
          <w:sz w:val="20"/>
          <w:szCs w:val="20"/>
        </w:rPr>
      </w:pPr>
      <w:r>
        <w:rPr>
          <w:rFonts w:ascii="Palatino Linotype" w:hAnsi="Palatino Linotype"/>
          <w:sz w:val="20"/>
          <w:szCs w:val="20"/>
        </w:rPr>
        <w:t xml:space="preserve">We can see from the </w:t>
      </w:r>
      <w:r w:rsidR="00855D11">
        <w:rPr>
          <w:rFonts w:ascii="Palatino Linotype" w:hAnsi="Palatino Linotype"/>
          <w:sz w:val="20"/>
          <w:szCs w:val="20"/>
        </w:rPr>
        <w:t>results</w:t>
      </w:r>
      <w:r>
        <w:rPr>
          <w:rFonts w:ascii="Palatino Linotype" w:hAnsi="Palatino Linotype"/>
          <w:sz w:val="20"/>
          <w:szCs w:val="20"/>
        </w:rPr>
        <w:t xml:space="preserve"> that the normal Free-Boundary SABR presents generally</w:t>
      </w:r>
      <w:r w:rsidR="00790904">
        <w:rPr>
          <w:rFonts w:ascii="Palatino Linotype" w:hAnsi="Palatino Linotype"/>
          <w:sz w:val="20"/>
          <w:szCs w:val="20"/>
        </w:rPr>
        <w:t xml:space="preserve"> more spikes and</w:t>
      </w:r>
      <w:r>
        <w:rPr>
          <w:rFonts w:ascii="Palatino Linotype" w:hAnsi="Palatino Linotype"/>
          <w:sz w:val="20"/>
          <w:szCs w:val="20"/>
        </w:rPr>
        <w:t xml:space="preserve"> </w:t>
      </w:r>
      <w:r w:rsidR="00DE2A1D">
        <w:rPr>
          <w:rFonts w:ascii="Palatino Linotype" w:hAnsi="Palatino Linotype"/>
          <w:sz w:val="20"/>
          <w:szCs w:val="20"/>
        </w:rPr>
        <w:t>a</w:t>
      </w:r>
      <w:r>
        <w:rPr>
          <w:rFonts w:ascii="Palatino Linotype" w:hAnsi="Palatino Linotype"/>
          <w:sz w:val="20"/>
          <w:szCs w:val="20"/>
        </w:rPr>
        <w:t xml:space="preserve"> </w:t>
      </w:r>
      <w:r w:rsidR="00BA2280">
        <w:rPr>
          <w:rFonts w:ascii="Palatino Linotype" w:hAnsi="Palatino Linotype"/>
          <w:sz w:val="20"/>
          <w:szCs w:val="20"/>
        </w:rPr>
        <w:t>higher</w:t>
      </w:r>
      <w:r>
        <w:rPr>
          <w:rFonts w:ascii="Palatino Linotype" w:hAnsi="Palatino Linotype"/>
          <w:sz w:val="20"/>
          <w:szCs w:val="20"/>
        </w:rPr>
        <w:t xml:space="preserve"> </w:t>
      </w:r>
      <w:r w:rsidR="00DE2A1D">
        <w:rPr>
          <w:rFonts w:ascii="Palatino Linotype" w:hAnsi="Palatino Linotype"/>
          <w:sz w:val="20"/>
          <w:szCs w:val="20"/>
        </w:rPr>
        <w:t>range of the output</w:t>
      </w:r>
      <w:r>
        <w:rPr>
          <w:rFonts w:ascii="Palatino Linotype" w:hAnsi="Palatino Linotype"/>
          <w:sz w:val="20"/>
          <w:szCs w:val="20"/>
        </w:rPr>
        <w:t xml:space="preserve"> for all parameters, especially with </w:t>
      </w:r>
      <m:oMath>
        <m:r>
          <w:rPr>
            <w:rFonts w:ascii="Cambria Math" w:hAnsi="Cambria Math"/>
            <w:sz w:val="20"/>
            <w:szCs w:val="20"/>
          </w:rPr>
          <m:t>α</m:t>
        </m:r>
      </m:oMath>
      <w:r w:rsidR="00DE2A1D">
        <w:rPr>
          <w:rFonts w:ascii="Palatino Linotype" w:hAnsi="Palatino Linotype"/>
          <w:sz w:val="20"/>
          <w:szCs w:val="20"/>
        </w:rPr>
        <w:t xml:space="preserve"> where on Gold data where it bounces from around 100 to 150 in value</w:t>
      </w:r>
      <w:r>
        <w:rPr>
          <w:rFonts w:ascii="Palatino Linotype" w:hAnsi="Palatino Linotype"/>
          <w:sz w:val="20"/>
          <w:szCs w:val="20"/>
        </w:rPr>
        <w:t xml:space="preserve">. </w:t>
      </w:r>
      <w:r w:rsidRPr="00144E12">
        <w:rPr>
          <w:rFonts w:ascii="Palatino Linotype" w:hAnsi="Palatino Linotype"/>
          <w:sz w:val="20"/>
          <w:szCs w:val="20"/>
        </w:rPr>
        <w:t xml:space="preserve">The relative errors graph </w:t>
      </w:r>
      <w:r w:rsidR="00C73631" w:rsidRPr="00144E12">
        <w:rPr>
          <w:rFonts w:ascii="Palatino Linotype" w:hAnsi="Palatino Linotype"/>
          <w:sz w:val="20"/>
          <w:szCs w:val="20"/>
        </w:rPr>
        <w:t>s</w:t>
      </w:r>
      <w:r w:rsidR="00C73631">
        <w:rPr>
          <w:rFonts w:ascii="Palatino Linotype" w:hAnsi="Palatino Linotype"/>
          <w:sz w:val="20"/>
          <w:szCs w:val="20"/>
        </w:rPr>
        <w:t>hows</w:t>
      </w:r>
      <w:r>
        <w:rPr>
          <w:rFonts w:ascii="Palatino Linotype" w:hAnsi="Palatino Linotype"/>
          <w:sz w:val="20"/>
          <w:szCs w:val="20"/>
        </w:rPr>
        <w:t xml:space="preserve"> that the </w:t>
      </w:r>
      <w:r w:rsidR="0073043E">
        <w:rPr>
          <w:rFonts w:ascii="Palatino Linotype" w:hAnsi="Palatino Linotype"/>
          <w:sz w:val="20"/>
          <w:szCs w:val="20"/>
        </w:rPr>
        <w:t>Normal model</w:t>
      </w:r>
      <w:r>
        <w:rPr>
          <w:rFonts w:ascii="Palatino Linotype" w:hAnsi="Palatino Linotype"/>
          <w:sz w:val="20"/>
          <w:szCs w:val="20"/>
        </w:rPr>
        <w:t xml:space="preserve"> with </w:t>
      </w:r>
      <m:oMath>
        <m:r>
          <w:rPr>
            <w:rFonts w:ascii="Cambria Math" w:hAnsi="Cambria Math"/>
            <w:sz w:val="20"/>
            <w:szCs w:val="20"/>
          </w:rPr>
          <m:t>β=0</m:t>
        </m:r>
      </m:oMath>
      <w:r>
        <w:rPr>
          <w:rFonts w:ascii="Palatino Linotype" w:hAnsi="Palatino Linotype"/>
          <w:sz w:val="20"/>
          <w:szCs w:val="20"/>
        </w:rPr>
        <w:t xml:space="preserve"> underperforms </w:t>
      </w:r>
      <w:r w:rsidR="006C350D">
        <w:rPr>
          <w:rFonts w:ascii="Palatino Linotype" w:hAnsi="Palatino Linotype"/>
          <w:sz w:val="20"/>
          <w:szCs w:val="20"/>
        </w:rPr>
        <w:t>in most cases and tenors</w:t>
      </w:r>
      <w:r>
        <w:rPr>
          <w:rFonts w:ascii="Palatino Linotype" w:hAnsi="Palatino Linotype"/>
          <w:sz w:val="20"/>
          <w:szCs w:val="20"/>
        </w:rPr>
        <w:t xml:space="preserve">. </w:t>
      </w:r>
    </w:p>
    <w:p w14:paraId="79544559" w14:textId="5DAF46B5" w:rsidR="00AA52D8" w:rsidRDefault="00AA52D8" w:rsidP="006127CA">
      <w:pPr>
        <w:spacing w:line="360" w:lineRule="auto"/>
        <w:jc w:val="both"/>
        <w:rPr>
          <w:rFonts w:ascii="Palatino Linotype" w:hAnsi="Palatino Linotype"/>
          <w:sz w:val="20"/>
          <w:szCs w:val="20"/>
        </w:rPr>
      </w:pPr>
      <w:r>
        <w:rPr>
          <w:rFonts w:ascii="Palatino Linotype" w:hAnsi="Palatino Linotype"/>
          <w:sz w:val="20"/>
          <w:szCs w:val="20"/>
        </w:rPr>
        <w:t xml:space="preserve">We construct volatility surfaces for both models by building </w:t>
      </w:r>
      <w:r w:rsidR="00CA0261">
        <w:rPr>
          <w:rFonts w:ascii="Palatino Linotype" w:hAnsi="Palatino Linotype"/>
          <w:sz w:val="20"/>
          <w:szCs w:val="20"/>
        </w:rPr>
        <w:t xml:space="preserve">the </w:t>
      </w:r>
      <w:r>
        <w:rPr>
          <w:rFonts w:ascii="Palatino Linotype" w:hAnsi="Palatino Linotype"/>
          <w:sz w:val="20"/>
          <w:szCs w:val="20"/>
        </w:rPr>
        <w:t xml:space="preserve">volatility matrix </w:t>
      </w:r>
      <w:r w:rsidR="00CA0261">
        <w:rPr>
          <w:rFonts w:ascii="Palatino Linotype" w:hAnsi="Palatino Linotype"/>
          <w:sz w:val="20"/>
          <w:szCs w:val="20"/>
        </w:rPr>
        <w:t xml:space="preserve">for each </w:t>
      </w:r>
      <w:r>
        <w:rPr>
          <w:rFonts w:ascii="Palatino Linotype" w:hAnsi="Palatino Linotype"/>
          <w:sz w:val="20"/>
          <w:szCs w:val="20"/>
        </w:rPr>
        <w:t xml:space="preserve">in </w:t>
      </w:r>
      <m:oMath>
        <m:r>
          <w:rPr>
            <w:rFonts w:ascii="Cambria Math" w:hAnsi="Cambria Math"/>
            <w:sz w:val="20"/>
            <w:szCs w:val="20"/>
          </w:rPr>
          <m:t>Quantlib</m:t>
        </m:r>
      </m:oMath>
      <w:r>
        <w:rPr>
          <w:rFonts w:ascii="Palatino Linotype" w:hAnsi="Palatino Linotype"/>
          <w:sz w:val="20"/>
          <w:szCs w:val="20"/>
        </w:rPr>
        <w:t xml:space="preserve"> and aligning smiles with tenors, which we then plug into the black variance surface</w:t>
      </w:r>
      <w:r w:rsidR="00E107D7">
        <w:rPr>
          <w:rFonts w:ascii="Palatino Linotype" w:hAnsi="Palatino Linotype"/>
          <w:sz w:val="20"/>
          <w:szCs w:val="20"/>
        </w:rPr>
        <w:t xml:space="preserve"> </w:t>
      </w:r>
      <m:oMath>
        <m:r>
          <w:rPr>
            <w:rFonts w:ascii="Cambria Math" w:hAnsi="Cambria Math"/>
            <w:sz w:val="20"/>
            <w:szCs w:val="20"/>
          </w:rPr>
          <m:t>ql.BlackVarianceSurface()</m:t>
        </m:r>
      </m:oMath>
      <w:r>
        <w:rPr>
          <w:rFonts w:ascii="Palatino Linotype" w:hAnsi="Palatino Linotype"/>
          <w:sz w:val="20"/>
          <w:szCs w:val="20"/>
        </w:rPr>
        <w:t>. Resulting plots are seen below.</w:t>
      </w:r>
    </w:p>
    <w:p w14:paraId="7C6BEA31" w14:textId="77777777" w:rsidR="00AA52D8" w:rsidRDefault="00AA52D8" w:rsidP="006127CA">
      <w:pPr>
        <w:spacing w:line="360" w:lineRule="auto"/>
        <w:jc w:val="both"/>
        <w:rPr>
          <w:rFonts w:ascii="Palatino Linotype" w:hAnsi="Palatino Linotype"/>
          <w:sz w:val="20"/>
          <w:szCs w:val="20"/>
        </w:rPr>
      </w:pPr>
    </w:p>
    <w:p w14:paraId="5BE67D02" w14:textId="0F911C3F" w:rsidR="00AA52D8" w:rsidRPr="00C8131B" w:rsidRDefault="00AA52D8" w:rsidP="006127C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sidR="007C146C">
        <w:rPr>
          <w:rFonts w:ascii="Palatino Linotype" w:hAnsi="Palatino Linotype"/>
          <w:sz w:val="20"/>
          <w:szCs w:val="20"/>
        </w:rPr>
        <w:t>smiles</w:t>
      </w:r>
      <w:r w:rsidRPr="00C8131B">
        <w:rPr>
          <w:rFonts w:ascii="Palatino Linotype" w:hAnsi="Palatino Linotype"/>
          <w:sz w:val="20"/>
          <w:szCs w:val="20"/>
        </w:rPr>
        <w:t xml:space="preserve"> for </w:t>
      </w:r>
      <w:proofErr w:type="spellStart"/>
      <w:r w:rsidR="00CA531B">
        <w:rPr>
          <w:rFonts w:ascii="Palatino Linotype" w:hAnsi="Palatino Linotype"/>
          <w:sz w:val="20"/>
          <w:szCs w:val="20"/>
        </w:rPr>
        <w:t>floch-kennedy</w:t>
      </w:r>
      <w:proofErr w:type="spellEnd"/>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0F03F206" w14:textId="530453C8" w:rsidR="00AA52D8" w:rsidRDefault="00AA52D8" w:rsidP="006127CA">
      <w:pPr>
        <w:spacing w:line="360" w:lineRule="auto"/>
        <w:jc w:val="both"/>
        <w:rPr>
          <w:rFonts w:ascii="Palatino Linotype" w:hAnsi="Palatino Linotype"/>
          <w:sz w:val="20"/>
          <w:szCs w:val="20"/>
        </w:rPr>
      </w:pPr>
    </w:p>
    <w:p w14:paraId="4BB9F2CD" w14:textId="266CFD90" w:rsidR="00D30982" w:rsidRDefault="00D30982" w:rsidP="006127CA">
      <w:pPr>
        <w:spacing w:line="360" w:lineRule="auto"/>
        <w:jc w:val="both"/>
        <w:rPr>
          <w:rFonts w:ascii="Palatino Linotype" w:hAnsi="Palatino Linotype"/>
          <w:sz w:val="20"/>
          <w:szCs w:val="20"/>
        </w:rPr>
      </w:pPr>
      <w:r>
        <w:rPr>
          <w:rFonts w:ascii="Palatino Linotype" w:hAnsi="Palatino Linotype"/>
          <w:sz w:val="20"/>
          <w:szCs w:val="20"/>
        </w:rPr>
        <w:t xml:space="preserve">As confirmed by the volatility smiles chart comparison, the normal case performs </w:t>
      </w:r>
      <w:r w:rsidR="00FE5C8B">
        <w:rPr>
          <w:rFonts w:ascii="Palatino Linotype" w:hAnsi="Palatino Linotype"/>
          <w:sz w:val="20"/>
          <w:szCs w:val="20"/>
        </w:rPr>
        <w:t>badly</w:t>
      </w:r>
      <w:r>
        <w:rPr>
          <w:rFonts w:ascii="Palatino Linotype" w:hAnsi="Palatino Linotype"/>
          <w:sz w:val="20"/>
          <w:szCs w:val="20"/>
        </w:rPr>
        <w:t xml:space="preserve"> with short term tenors. The </w:t>
      </w:r>
      <w:r w:rsidR="0025357B">
        <w:rPr>
          <w:rFonts w:ascii="Palatino Linotype" w:hAnsi="Palatino Linotype"/>
          <w:sz w:val="20"/>
          <w:szCs w:val="20"/>
        </w:rPr>
        <w:t>biggest difference relies in the small “bump” in the surface for the Normal Free-Boundary model with mid</w:t>
      </w:r>
      <w:r w:rsidR="00AF0900">
        <w:rPr>
          <w:rFonts w:ascii="Palatino Linotype" w:hAnsi="Palatino Linotype"/>
          <w:sz w:val="20"/>
          <w:szCs w:val="20"/>
        </w:rPr>
        <w:t xml:space="preserve"> to long term</w:t>
      </w:r>
      <w:r w:rsidR="0025357B">
        <w:rPr>
          <w:rFonts w:ascii="Palatino Linotype" w:hAnsi="Palatino Linotype"/>
          <w:sz w:val="20"/>
          <w:szCs w:val="20"/>
        </w:rPr>
        <w:t xml:space="preserve"> maturities</w:t>
      </w:r>
      <w:r w:rsidR="005C6998">
        <w:rPr>
          <w:rFonts w:ascii="Palatino Linotype" w:hAnsi="Palatino Linotype"/>
          <w:sz w:val="20"/>
          <w:szCs w:val="20"/>
        </w:rPr>
        <w:t>, when the calibration does not perform well</w:t>
      </w:r>
      <w:r>
        <w:rPr>
          <w:rFonts w:ascii="Palatino Linotype" w:hAnsi="Palatino Linotype"/>
          <w:sz w:val="20"/>
          <w:szCs w:val="20"/>
        </w:rPr>
        <w:t>.</w:t>
      </w:r>
      <w:r w:rsidR="005C6998">
        <w:rPr>
          <w:rFonts w:ascii="Palatino Linotype" w:hAnsi="Palatino Linotype"/>
          <w:sz w:val="20"/>
          <w:szCs w:val="20"/>
        </w:rPr>
        <w:t xml:space="preserve"> </w:t>
      </w:r>
      <w:r w:rsidR="00AF0900">
        <w:rPr>
          <w:rFonts w:ascii="Palatino Linotype" w:hAnsi="Palatino Linotype"/>
          <w:sz w:val="20"/>
          <w:szCs w:val="20"/>
        </w:rPr>
        <w:t xml:space="preserve">An exception is with data on Silver options, where the two model behave similarly and fit well </w:t>
      </w:r>
      <w:r w:rsidR="00281046">
        <w:rPr>
          <w:rFonts w:ascii="Palatino Linotype" w:hAnsi="Palatino Linotype"/>
          <w:sz w:val="20"/>
          <w:szCs w:val="20"/>
        </w:rPr>
        <w:t xml:space="preserve">for all tenors </w:t>
      </w:r>
      <w:r w:rsidR="00AF0900">
        <w:rPr>
          <w:rFonts w:ascii="Palatino Linotype" w:hAnsi="Palatino Linotype"/>
          <w:sz w:val="20"/>
          <w:szCs w:val="20"/>
        </w:rPr>
        <w:t>to implied volatility smiles</w:t>
      </w:r>
      <w:r>
        <w:rPr>
          <w:rFonts w:ascii="Palatino Linotype" w:hAnsi="Palatino Linotype"/>
          <w:sz w:val="20"/>
          <w:szCs w:val="20"/>
        </w:rPr>
        <w:t xml:space="preserve">. </w:t>
      </w:r>
    </w:p>
    <w:p w14:paraId="18E54D76" w14:textId="77777777" w:rsidR="00D30982" w:rsidRDefault="00D30982" w:rsidP="006127CA">
      <w:pPr>
        <w:spacing w:line="360" w:lineRule="auto"/>
        <w:jc w:val="both"/>
        <w:rPr>
          <w:rFonts w:ascii="Palatino Linotype" w:hAnsi="Palatino Linotype"/>
          <w:sz w:val="20"/>
          <w:szCs w:val="20"/>
        </w:rPr>
      </w:pPr>
    </w:p>
    <w:p w14:paraId="3C1F5C49" w14:textId="3C356610" w:rsidR="00D30982" w:rsidRDefault="00D30982" w:rsidP="006127C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Pr>
          <w:rFonts w:ascii="Palatino Linotype" w:hAnsi="Palatino Linotype"/>
          <w:sz w:val="20"/>
          <w:szCs w:val="20"/>
        </w:rPr>
        <w:t>surfaces</w:t>
      </w:r>
      <w:r w:rsidRPr="00C8131B">
        <w:rPr>
          <w:rFonts w:ascii="Palatino Linotype" w:hAnsi="Palatino Linotype"/>
          <w:sz w:val="20"/>
          <w:szCs w:val="20"/>
        </w:rPr>
        <w:t xml:space="preserve"> for </w:t>
      </w:r>
      <w:proofErr w:type="spellStart"/>
      <w:r w:rsidR="00CA531B">
        <w:rPr>
          <w:rFonts w:ascii="Palatino Linotype" w:hAnsi="Palatino Linotype"/>
          <w:sz w:val="20"/>
          <w:szCs w:val="20"/>
        </w:rPr>
        <w:t>floch-kennedy</w:t>
      </w:r>
      <w:proofErr w:type="spellEnd"/>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680F14C4" w14:textId="37A47B6A" w:rsidR="00AA52D8" w:rsidRPr="00AA52D8" w:rsidRDefault="00D30982" w:rsidP="006127CA">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5A53E014" w14:textId="4E6FC846" w:rsidR="00EC56C9" w:rsidRDefault="00EC56C9" w:rsidP="006127CA">
      <w:pPr>
        <w:pStyle w:val="Heading3"/>
        <w:spacing w:line="360" w:lineRule="auto"/>
      </w:pPr>
      <w:r w:rsidRPr="00AA52D8">
        <w:t>Mixture SABR Model</w:t>
      </w:r>
    </w:p>
    <w:p w14:paraId="31631274" w14:textId="66326E24" w:rsidR="00897E8A" w:rsidRDefault="00897E8A" w:rsidP="006127CA">
      <w:pPr>
        <w:spacing w:line="360" w:lineRule="auto"/>
        <w:jc w:val="both"/>
        <w:rPr>
          <w:rFonts w:ascii="Palatino Linotype" w:hAnsi="Palatino Linotype"/>
          <w:sz w:val="20"/>
          <w:szCs w:val="20"/>
        </w:rPr>
      </w:pPr>
      <w:r>
        <w:rPr>
          <w:rFonts w:ascii="Palatino Linotype" w:hAnsi="Palatino Linotype"/>
          <w:sz w:val="20"/>
          <w:szCs w:val="20"/>
        </w:rPr>
        <w:t xml:space="preserve">In the previous chapter, we have shown the process under which the Mixture SABR model is calibrated, following the formula for the implied volatility of an option at a given expiry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w:r>
        <w:rPr>
          <w:rFonts w:ascii="Palatino Linotype" w:hAnsi="Palatino Linotype"/>
          <w:sz w:val="20"/>
          <w:szCs w:val="20"/>
        </w:rPr>
        <w:t xml:space="preserve">. We first calibrate the Free-Boundary SABR model, </w:t>
      </w:r>
      <w:r w:rsidR="00BE4FED">
        <w:rPr>
          <w:rFonts w:ascii="Palatino Linotype" w:hAnsi="Palatino Linotype"/>
          <w:sz w:val="20"/>
          <w:szCs w:val="20"/>
        </w:rPr>
        <w:t xml:space="preserve">set initial conditions, then </w:t>
      </w:r>
      <w:r>
        <w:rPr>
          <w:rFonts w:ascii="Palatino Linotype" w:hAnsi="Palatino Linotype"/>
          <w:sz w:val="20"/>
          <w:szCs w:val="20"/>
        </w:rPr>
        <w:t xml:space="preserve">minimize the objective function for each maturity set under the constrains explained </w:t>
      </w:r>
      <w:r w:rsidR="00BE4FED">
        <w:rPr>
          <w:rFonts w:ascii="Palatino Linotype" w:hAnsi="Palatino Linotype"/>
          <w:sz w:val="20"/>
          <w:szCs w:val="20"/>
        </w:rPr>
        <w:t>in the previous chapter</w:t>
      </w:r>
      <w:r>
        <w:rPr>
          <w:rFonts w:ascii="Palatino Linotype" w:hAnsi="Palatino Linotype"/>
          <w:sz w:val="20"/>
          <w:szCs w:val="20"/>
        </w:rPr>
        <w:t xml:space="preserve"> and finally choose the best fit</w:t>
      </w:r>
      <w:r w:rsidR="00BE4FED">
        <w:rPr>
          <w:rFonts w:ascii="Palatino Linotype" w:hAnsi="Palatino Linotype"/>
          <w:sz w:val="20"/>
          <w:szCs w:val="20"/>
        </w:rPr>
        <w:t>ting curves</w:t>
      </w:r>
      <w:r>
        <w:rPr>
          <w:rFonts w:ascii="Palatino Linotype" w:hAnsi="Palatino Linotype"/>
          <w:sz w:val="20"/>
          <w:szCs w:val="20"/>
        </w:rPr>
        <w:t xml:space="preserve">. </w:t>
      </w:r>
      <w:r w:rsidR="00BE4FED">
        <w:rPr>
          <w:rFonts w:ascii="Palatino Linotype" w:hAnsi="Palatino Linotype"/>
          <w:sz w:val="20"/>
          <w:szCs w:val="20"/>
        </w:rPr>
        <w:t>The final outputs for the results are shown below together with a comparison plot of the model volatility and market surfaces.</w:t>
      </w:r>
    </w:p>
    <w:p w14:paraId="34E8B483" w14:textId="5E61CA13" w:rsidR="00BE4FED" w:rsidRDefault="00BE4FED" w:rsidP="006127CA">
      <w:pPr>
        <w:spacing w:line="360" w:lineRule="auto"/>
        <w:jc w:val="both"/>
        <w:rPr>
          <w:rFonts w:ascii="Palatino Linotype" w:hAnsi="Palatino Linotype"/>
          <w:sz w:val="20"/>
          <w:szCs w:val="20"/>
        </w:rPr>
      </w:pPr>
    </w:p>
    <w:p w14:paraId="6892157D" w14:textId="5115B5E8" w:rsidR="00BE4FED" w:rsidRDefault="00BE4FED" w:rsidP="006127CA">
      <w:pPr>
        <w:spacing w:line="360" w:lineRule="auto"/>
        <w:jc w:val="both"/>
        <w:rPr>
          <w:rFonts w:ascii="Palatino Linotype" w:hAnsi="Palatino Linotype"/>
          <w:sz w:val="20"/>
          <w:szCs w:val="20"/>
        </w:rPr>
      </w:pPr>
      <w:r>
        <w:rPr>
          <w:rFonts w:ascii="Palatino Linotype" w:hAnsi="Palatino Linotype"/>
          <w:sz w:val="20"/>
          <w:szCs w:val="20"/>
        </w:rPr>
        <w:t xml:space="preserve">FIGURE(surfaces of mixture </w:t>
      </w:r>
      <w:proofErr w:type="spellStart"/>
      <w:r>
        <w:rPr>
          <w:rFonts w:ascii="Palatino Linotype" w:hAnsi="Palatino Linotype"/>
          <w:sz w:val="20"/>
          <w:szCs w:val="20"/>
        </w:rPr>
        <w:t>sabr</w:t>
      </w:r>
      <w:proofErr w:type="spellEnd"/>
      <w:r>
        <w:rPr>
          <w:rFonts w:ascii="Palatino Linotype" w:hAnsi="Palatino Linotype"/>
          <w:sz w:val="20"/>
          <w:szCs w:val="20"/>
        </w:rPr>
        <w:t xml:space="preserve"> and black variance)</w:t>
      </w:r>
    </w:p>
    <w:p w14:paraId="48F078F8" w14:textId="4C5DAD51" w:rsidR="00BE4FED" w:rsidRDefault="00BE4FED" w:rsidP="006127CA">
      <w:pPr>
        <w:spacing w:line="360" w:lineRule="auto"/>
        <w:jc w:val="both"/>
        <w:rPr>
          <w:rFonts w:ascii="Palatino Linotype" w:hAnsi="Palatino Linotype"/>
          <w:sz w:val="20"/>
          <w:szCs w:val="20"/>
        </w:rPr>
      </w:pPr>
    </w:p>
    <w:p w14:paraId="05BD2D28" w14:textId="77777777" w:rsidR="003B6C42" w:rsidRDefault="00CC779E" w:rsidP="006127CA">
      <w:pPr>
        <w:spacing w:line="360" w:lineRule="auto"/>
        <w:jc w:val="both"/>
        <w:rPr>
          <w:rFonts w:ascii="Palatino Linotype" w:hAnsi="Palatino Linotype"/>
          <w:sz w:val="20"/>
          <w:szCs w:val="20"/>
        </w:rPr>
      </w:pPr>
      <w:r>
        <w:rPr>
          <w:rFonts w:ascii="Palatino Linotype" w:hAnsi="Palatino Linotype"/>
          <w:sz w:val="20"/>
          <w:szCs w:val="20"/>
        </w:rPr>
        <w:t>The model output results in overstated volatilities</w:t>
      </w:r>
      <w:r w:rsidR="00BE4FED">
        <w:rPr>
          <w:rFonts w:ascii="Palatino Linotype" w:hAnsi="Palatino Linotype"/>
          <w:sz w:val="20"/>
          <w:szCs w:val="20"/>
        </w:rPr>
        <w:t xml:space="preserve">, with smiles always plotting on the area above market curves. </w:t>
      </w:r>
      <w:r w:rsidR="005925C3">
        <w:rPr>
          <w:rFonts w:ascii="Palatino Linotype" w:hAnsi="Palatino Linotype"/>
          <w:sz w:val="20"/>
          <w:szCs w:val="20"/>
        </w:rPr>
        <w:t xml:space="preserve">The reason behind volatilities not quite fitting the smiles is most likely due to balancing good fitting non-normal Free-Boundary smiles with the non-well performing zero-correlation Normal SABR model. </w:t>
      </w:r>
      <w:r w:rsidR="00040DEC">
        <w:rPr>
          <w:rFonts w:ascii="Palatino Linotype" w:hAnsi="Palatino Linotype"/>
          <w:sz w:val="20"/>
          <w:szCs w:val="20"/>
        </w:rPr>
        <w:t xml:space="preserve">As it can be seen by the error graphs over time, the Normal SABR has mostly an increasing RMSE </w:t>
      </w:r>
      <w:r w:rsidR="00560C06">
        <w:rPr>
          <w:rFonts w:ascii="Palatino Linotype" w:hAnsi="Palatino Linotype"/>
          <w:sz w:val="20"/>
          <w:szCs w:val="20"/>
        </w:rPr>
        <w:t>whereas we see a</w:t>
      </w:r>
      <w:r w:rsidR="00040DEC">
        <w:rPr>
          <w:rFonts w:ascii="Palatino Linotype" w:hAnsi="Palatino Linotype"/>
          <w:sz w:val="20"/>
          <w:szCs w:val="20"/>
        </w:rPr>
        <w:t xml:space="preserve">a decreasing RMSE for the Free Boundary </w:t>
      </w:r>
      <w:r w:rsidR="00560C06">
        <w:rPr>
          <w:rFonts w:ascii="Palatino Linotype" w:hAnsi="Palatino Linotype"/>
          <w:sz w:val="20"/>
          <w:szCs w:val="20"/>
        </w:rPr>
        <w:t>model</w:t>
      </w:r>
      <w:r w:rsidR="004670B6">
        <w:rPr>
          <w:rFonts w:ascii="Palatino Linotype" w:hAnsi="Palatino Linotype"/>
          <w:sz w:val="20"/>
          <w:szCs w:val="20"/>
        </w:rPr>
        <w:t xml:space="preserve">. </w:t>
      </w:r>
      <w:r w:rsidR="00ED25A2">
        <w:rPr>
          <w:rFonts w:ascii="Palatino Linotype" w:hAnsi="Palatino Linotype"/>
          <w:sz w:val="20"/>
          <w:szCs w:val="20"/>
        </w:rPr>
        <w:t xml:space="preserve">In such </w:t>
      </w:r>
      <w:r w:rsidR="00ED25A2">
        <w:rPr>
          <w:rFonts w:ascii="Palatino Linotype" w:hAnsi="Palatino Linotype"/>
          <w:sz w:val="20"/>
          <w:szCs w:val="20"/>
        </w:rPr>
        <w:lastRenderedPageBreak/>
        <w:t>way, the final formula for the model turns out to increase the unbalanced error from the Normal SABR resulting in a bad fitting Mixture surface</w:t>
      </w:r>
      <w:r w:rsidR="003B6C42">
        <w:rPr>
          <w:rFonts w:ascii="Palatino Linotype" w:hAnsi="Palatino Linotype"/>
          <w:sz w:val="20"/>
          <w:szCs w:val="20"/>
        </w:rPr>
        <w:t>.</w:t>
      </w:r>
    </w:p>
    <w:p w14:paraId="7C5FC675" w14:textId="7B9E5F5B" w:rsidR="005925C3" w:rsidRDefault="004F4C57" w:rsidP="006127CA">
      <w:pPr>
        <w:spacing w:line="360" w:lineRule="auto"/>
        <w:jc w:val="both"/>
        <w:rPr>
          <w:rFonts w:ascii="Palatino Linotype" w:hAnsi="Palatino Linotype"/>
          <w:sz w:val="20"/>
          <w:szCs w:val="20"/>
        </w:rPr>
      </w:pPr>
      <w:r>
        <w:rPr>
          <w:rFonts w:ascii="Palatino Linotype" w:hAnsi="Palatino Linotype"/>
          <w:sz w:val="20"/>
          <w:szCs w:val="20"/>
        </w:rPr>
        <w:t>From this we can argue that t</w:t>
      </w:r>
      <w:r w:rsidR="005925C3">
        <w:rPr>
          <w:rFonts w:ascii="Palatino Linotype" w:hAnsi="Palatino Linotype"/>
          <w:sz w:val="20"/>
          <w:szCs w:val="20"/>
        </w:rPr>
        <w:t xml:space="preserve">he Mixture model works </w:t>
      </w:r>
      <w:r>
        <w:rPr>
          <w:rFonts w:ascii="Palatino Linotype" w:hAnsi="Palatino Linotype"/>
          <w:sz w:val="20"/>
          <w:szCs w:val="20"/>
        </w:rPr>
        <w:t>best</w:t>
      </w:r>
      <w:r w:rsidR="005925C3">
        <w:rPr>
          <w:rFonts w:ascii="Palatino Linotype" w:hAnsi="Palatino Linotype"/>
          <w:sz w:val="20"/>
          <w:szCs w:val="20"/>
        </w:rPr>
        <w:t xml:space="preserve"> when both models </w:t>
      </w:r>
      <w:r>
        <w:rPr>
          <w:rFonts w:ascii="Palatino Linotype" w:hAnsi="Palatino Linotype"/>
          <w:sz w:val="20"/>
          <w:szCs w:val="20"/>
        </w:rPr>
        <w:t>calibrated</w:t>
      </w:r>
      <w:r w:rsidR="005925C3">
        <w:rPr>
          <w:rFonts w:ascii="Palatino Linotype" w:hAnsi="Palatino Linotype"/>
          <w:sz w:val="20"/>
          <w:szCs w:val="20"/>
        </w:rPr>
        <w:t xml:space="preserve"> together </w:t>
      </w:r>
      <w:r>
        <w:rPr>
          <w:rFonts w:ascii="Palatino Linotype" w:hAnsi="Palatino Linotype"/>
          <w:sz w:val="20"/>
          <w:szCs w:val="20"/>
        </w:rPr>
        <w:t>show already</w:t>
      </w:r>
      <w:r w:rsidR="005925C3">
        <w:rPr>
          <w:rFonts w:ascii="Palatino Linotype" w:hAnsi="Palatino Linotype"/>
          <w:sz w:val="20"/>
          <w:szCs w:val="20"/>
        </w:rPr>
        <w:t xml:space="preserve"> good results independently. </w:t>
      </w:r>
      <w:r w:rsidR="00665E1B">
        <w:rPr>
          <w:rFonts w:ascii="Palatino Linotype" w:hAnsi="Palatino Linotype"/>
          <w:sz w:val="20"/>
          <w:szCs w:val="20"/>
        </w:rPr>
        <w:t>Generally,</w:t>
      </w:r>
      <w:r w:rsidR="002947A8">
        <w:rPr>
          <w:rFonts w:ascii="Palatino Linotype" w:hAnsi="Palatino Linotype"/>
          <w:sz w:val="20"/>
          <w:szCs w:val="20"/>
        </w:rPr>
        <w:t xml:space="preserve"> any type of mixture model tends </w:t>
      </w:r>
      <w:r w:rsidR="009E0835">
        <w:rPr>
          <w:rFonts w:ascii="Palatino Linotype" w:hAnsi="Palatino Linotype"/>
          <w:sz w:val="20"/>
          <w:szCs w:val="20"/>
        </w:rPr>
        <w:t>not to</w:t>
      </w:r>
      <w:r w:rsidR="002947A8">
        <w:rPr>
          <w:rFonts w:ascii="Palatino Linotype" w:hAnsi="Palatino Linotype"/>
          <w:sz w:val="20"/>
          <w:szCs w:val="20"/>
        </w:rPr>
        <w:t xml:space="preserve"> perform well as error</w:t>
      </w:r>
      <w:r w:rsidR="00665E1B">
        <w:rPr>
          <w:rFonts w:ascii="Palatino Linotype" w:hAnsi="Palatino Linotype"/>
          <w:sz w:val="20"/>
          <w:szCs w:val="20"/>
        </w:rPr>
        <w:t>s</w:t>
      </w:r>
      <w:r w:rsidR="002947A8">
        <w:rPr>
          <w:rFonts w:ascii="Palatino Linotype" w:hAnsi="Palatino Linotype"/>
          <w:sz w:val="20"/>
          <w:szCs w:val="20"/>
        </w:rPr>
        <w:t xml:space="preserve"> </w:t>
      </w:r>
      <w:r w:rsidR="00F24C5A">
        <w:rPr>
          <w:rFonts w:ascii="Palatino Linotype" w:hAnsi="Palatino Linotype"/>
          <w:sz w:val="20"/>
          <w:szCs w:val="20"/>
        </w:rPr>
        <w:t>present in each model are assimilated</w:t>
      </w:r>
      <w:r w:rsidR="002947A8">
        <w:rPr>
          <w:rFonts w:ascii="Palatino Linotype" w:hAnsi="Palatino Linotype"/>
          <w:sz w:val="20"/>
          <w:szCs w:val="20"/>
        </w:rPr>
        <w:t xml:space="preserve"> </w:t>
      </w:r>
      <w:r w:rsidR="00F557CB">
        <w:rPr>
          <w:rFonts w:ascii="Palatino Linotype" w:hAnsi="Palatino Linotype"/>
          <w:sz w:val="20"/>
          <w:szCs w:val="20"/>
        </w:rPr>
        <w:t>into</w:t>
      </w:r>
      <w:r w:rsidR="002947A8">
        <w:rPr>
          <w:rFonts w:ascii="Palatino Linotype" w:hAnsi="Palatino Linotype"/>
          <w:sz w:val="20"/>
          <w:szCs w:val="20"/>
        </w:rPr>
        <w:t xml:space="preserve"> the balancing process</w:t>
      </w:r>
      <w:r w:rsidR="004D6445">
        <w:rPr>
          <w:rFonts w:ascii="Palatino Linotype" w:hAnsi="Palatino Linotype"/>
          <w:sz w:val="20"/>
          <w:szCs w:val="20"/>
        </w:rPr>
        <w:t xml:space="preserve"> of the Mixture model, hence failing to calibrate well to the market</w:t>
      </w:r>
      <w:r w:rsidR="002947A8">
        <w:rPr>
          <w:rFonts w:ascii="Palatino Linotype" w:hAnsi="Palatino Linotype"/>
          <w:sz w:val="20"/>
          <w:szCs w:val="20"/>
        </w:rPr>
        <w:t xml:space="preserve">. </w:t>
      </w:r>
      <w:r>
        <w:rPr>
          <w:rFonts w:ascii="Palatino Linotype" w:hAnsi="Palatino Linotype"/>
          <w:sz w:val="20"/>
          <w:szCs w:val="20"/>
        </w:rPr>
        <w:t xml:space="preserve">When </w:t>
      </w:r>
      <w:r w:rsidR="002947A8">
        <w:rPr>
          <w:rFonts w:ascii="Palatino Linotype" w:hAnsi="Palatino Linotype"/>
          <w:sz w:val="20"/>
          <w:szCs w:val="20"/>
        </w:rPr>
        <w:t>one of the two models do not perform well by itself</w:t>
      </w:r>
      <w:r>
        <w:rPr>
          <w:rFonts w:ascii="Palatino Linotype" w:hAnsi="Palatino Linotype"/>
          <w:sz w:val="20"/>
          <w:szCs w:val="20"/>
        </w:rPr>
        <w:t xml:space="preserve">, as in our scenario, it is </w:t>
      </w:r>
      <w:r w:rsidR="002947A8">
        <w:rPr>
          <w:rFonts w:ascii="Palatino Linotype" w:hAnsi="Palatino Linotype"/>
          <w:sz w:val="20"/>
          <w:szCs w:val="20"/>
        </w:rPr>
        <w:t xml:space="preserve">then </w:t>
      </w:r>
      <w:r>
        <w:rPr>
          <w:rFonts w:ascii="Palatino Linotype" w:hAnsi="Palatino Linotype"/>
          <w:sz w:val="20"/>
          <w:szCs w:val="20"/>
        </w:rPr>
        <w:t xml:space="preserve">advisable to use </w:t>
      </w:r>
      <w:r w:rsidR="008A0438">
        <w:rPr>
          <w:rFonts w:ascii="Palatino Linotype" w:hAnsi="Palatino Linotype"/>
          <w:sz w:val="20"/>
          <w:szCs w:val="20"/>
        </w:rPr>
        <w:t>a single model only</w:t>
      </w:r>
      <w:r>
        <w:rPr>
          <w:rFonts w:ascii="Palatino Linotype" w:hAnsi="Palatino Linotype"/>
          <w:sz w:val="20"/>
          <w:szCs w:val="20"/>
        </w:rPr>
        <w:t>.</w:t>
      </w:r>
    </w:p>
    <w:p w14:paraId="30ECFC45" w14:textId="76E03DC7" w:rsidR="00646EE3" w:rsidRPr="005925C3" w:rsidRDefault="00646EE3" w:rsidP="006127CA">
      <w:pPr>
        <w:spacing w:line="360" w:lineRule="auto"/>
        <w:jc w:val="both"/>
        <w:rPr>
          <w:rFonts w:ascii="Palatino Linotype" w:hAnsi="Palatino Linotype"/>
          <w:sz w:val="20"/>
          <w:szCs w:val="20"/>
        </w:rPr>
      </w:pPr>
      <w:r>
        <w:rPr>
          <w:rFonts w:ascii="Palatino Linotype" w:hAnsi="Palatino Linotype"/>
          <w:sz w:val="20"/>
          <w:szCs w:val="20"/>
        </w:rPr>
        <w:t>In the next section we will perform a comparison of all the best fitting models to finally draw our conclusions.</w:t>
      </w:r>
    </w:p>
    <w:p w14:paraId="2A074C5C" w14:textId="1881486B" w:rsidR="00C006D8" w:rsidRDefault="00C006D8" w:rsidP="006127CA">
      <w:pPr>
        <w:pStyle w:val="Heading2"/>
        <w:spacing w:line="360" w:lineRule="auto"/>
      </w:pPr>
      <w:r>
        <w:t>Comparison</w:t>
      </w:r>
    </w:p>
    <w:p w14:paraId="20415A53" w14:textId="4D015166" w:rsidR="00E413E0" w:rsidRDefault="00E413E0" w:rsidP="006127CA">
      <w:pPr>
        <w:spacing w:line="360" w:lineRule="auto"/>
        <w:jc w:val="both"/>
        <w:rPr>
          <w:rFonts w:ascii="Palatino Linotype" w:hAnsi="Palatino Linotype"/>
          <w:sz w:val="20"/>
          <w:szCs w:val="20"/>
        </w:rPr>
      </w:pPr>
      <w:r>
        <w:rPr>
          <w:rFonts w:ascii="Palatino Linotype" w:hAnsi="Palatino Linotype"/>
          <w:sz w:val="20"/>
          <w:szCs w:val="20"/>
        </w:rPr>
        <w:t xml:space="preserve">As a conclusion </w:t>
      </w:r>
      <w:r>
        <w:rPr>
          <w:rFonts w:ascii="Palatino Linotype" w:hAnsi="Palatino Linotype"/>
          <w:sz w:val="20"/>
          <w:szCs w:val="20"/>
        </w:rPr>
        <w:t>to</w:t>
      </w:r>
      <w:r>
        <w:rPr>
          <w:rFonts w:ascii="Palatino Linotype" w:hAnsi="Palatino Linotype"/>
          <w:sz w:val="20"/>
          <w:szCs w:val="20"/>
        </w:rPr>
        <w:t xml:space="preserve"> </w:t>
      </w:r>
      <w:r>
        <w:rPr>
          <w:rFonts w:ascii="Palatino Linotype" w:hAnsi="Palatino Linotype"/>
          <w:sz w:val="20"/>
          <w:szCs w:val="20"/>
        </w:rPr>
        <w:t>our</w:t>
      </w:r>
      <w:r>
        <w:rPr>
          <w:rFonts w:ascii="Palatino Linotype" w:hAnsi="Palatino Linotype"/>
          <w:sz w:val="20"/>
          <w:szCs w:val="20"/>
        </w:rPr>
        <w:t xml:space="preserve"> analysis, we shall </w:t>
      </w:r>
      <w:r>
        <w:rPr>
          <w:rFonts w:ascii="Palatino Linotype" w:hAnsi="Palatino Linotype"/>
          <w:sz w:val="20"/>
          <w:szCs w:val="20"/>
        </w:rPr>
        <w:t>inspect</w:t>
      </w:r>
      <w:r>
        <w:rPr>
          <w:rFonts w:ascii="Palatino Linotype" w:hAnsi="Palatino Linotype"/>
          <w:sz w:val="20"/>
          <w:szCs w:val="20"/>
        </w:rPr>
        <w:t xml:space="preserve"> the root mean square error term for each model volatility with respect to the market and over time. Then, we shall plot volatility smiles for a range of tenors </w:t>
      </w:r>
      <w:r w:rsidR="00AE34CD">
        <w:rPr>
          <w:rFonts w:ascii="Palatino Linotype" w:hAnsi="Palatino Linotype"/>
          <w:sz w:val="20"/>
          <w:szCs w:val="20"/>
        </w:rPr>
        <w:t xml:space="preserve">along with surfaces to </w:t>
      </w:r>
      <w:r>
        <w:rPr>
          <w:rFonts w:ascii="Palatino Linotype" w:hAnsi="Palatino Linotype"/>
          <w:sz w:val="20"/>
          <w:szCs w:val="20"/>
        </w:rPr>
        <w:t xml:space="preserve">analyze the fit. Finally, </w:t>
      </w:r>
      <w:r w:rsidR="00AE34CD">
        <w:rPr>
          <w:rFonts w:ascii="Palatino Linotype" w:hAnsi="Palatino Linotype"/>
          <w:sz w:val="20"/>
          <w:szCs w:val="20"/>
        </w:rPr>
        <w:t xml:space="preserve">after </w:t>
      </w:r>
      <w:r>
        <w:rPr>
          <w:rFonts w:ascii="Palatino Linotype" w:hAnsi="Palatino Linotype"/>
          <w:sz w:val="20"/>
          <w:szCs w:val="20"/>
        </w:rPr>
        <w:t>we</w:t>
      </w:r>
      <w:r w:rsidR="00AE34CD">
        <w:rPr>
          <w:rFonts w:ascii="Palatino Linotype" w:hAnsi="Palatino Linotype"/>
          <w:sz w:val="20"/>
          <w:szCs w:val="20"/>
        </w:rPr>
        <w:t xml:space="preserve"> comment on the distribution of implied volatility across tenors and look at computational time for each model, we discuss results on our findings</w:t>
      </w:r>
      <w:r>
        <w:rPr>
          <w:rFonts w:ascii="Palatino Linotype" w:hAnsi="Palatino Linotype"/>
          <w:sz w:val="20"/>
          <w:szCs w:val="20"/>
        </w:rPr>
        <w:t xml:space="preserve">. </w:t>
      </w:r>
    </w:p>
    <w:p w14:paraId="32C3E552" w14:textId="77777777" w:rsidR="00E413E0" w:rsidRPr="00E413E0" w:rsidRDefault="00E413E0" w:rsidP="006127CA">
      <w:pPr>
        <w:spacing w:line="360" w:lineRule="auto"/>
      </w:pPr>
    </w:p>
    <w:p w14:paraId="3DEA916B" w14:textId="1434CE0C" w:rsidR="005A4244" w:rsidRDefault="005A4244" w:rsidP="006127CA">
      <w:pPr>
        <w:pStyle w:val="Heading3"/>
        <w:spacing w:line="360" w:lineRule="auto"/>
      </w:pPr>
      <w:r>
        <w:t xml:space="preserve">Comparison of SABR, Heston and </w:t>
      </w:r>
      <w:r w:rsidR="00C20281">
        <w:t>Black</w:t>
      </w:r>
      <w:r>
        <w:t xml:space="preserve"> Volatility</w:t>
      </w:r>
      <w:r w:rsidR="00C47423">
        <w:t xml:space="preserve"> </w:t>
      </w:r>
      <w:r w:rsidR="00C20281">
        <w:t>models</w:t>
      </w:r>
    </w:p>
    <w:p w14:paraId="6A5D6C07" w14:textId="1D06302C" w:rsidR="00DA678D" w:rsidRDefault="00DA678D" w:rsidP="006127CA">
      <w:pPr>
        <w:spacing w:line="360" w:lineRule="auto"/>
        <w:jc w:val="both"/>
        <w:rPr>
          <w:rFonts w:ascii="Palatino Linotype" w:hAnsi="Palatino Linotype"/>
          <w:sz w:val="20"/>
          <w:szCs w:val="20"/>
        </w:rPr>
      </w:pPr>
    </w:p>
    <w:p w14:paraId="7AC201B3" w14:textId="77777777" w:rsidR="00DA678D" w:rsidRDefault="00DA678D" w:rsidP="006127CA">
      <w:pPr>
        <w:shd w:val="clear" w:color="auto" w:fill="FFFFFF"/>
        <w:spacing w:line="360" w:lineRule="auto"/>
        <w:rPr>
          <w:rFonts w:ascii="Palatino Linotype" w:hAnsi="Palatino Linotype"/>
          <w:sz w:val="20"/>
          <w:szCs w:val="20"/>
        </w:rPr>
      </w:pPr>
      <w:r>
        <w:rPr>
          <w:rFonts w:ascii="Palatino Linotype" w:hAnsi="Palatino Linotype"/>
          <w:sz w:val="20"/>
          <w:szCs w:val="20"/>
        </w:rPr>
        <w:t>FIGURE(</w:t>
      </w:r>
      <w:r>
        <w:rPr>
          <w:rFonts w:ascii="Consolas" w:hAnsi="Consolas"/>
          <w:color w:val="008000"/>
          <w:sz w:val="18"/>
          <w:szCs w:val="18"/>
        </w:rPr>
        <w:t>VOLATILIY SMILES</w:t>
      </w:r>
      <w:r>
        <w:rPr>
          <w:rFonts w:ascii="Consolas" w:hAnsi="Consolas"/>
          <w:color w:val="000000"/>
          <w:sz w:val="18"/>
          <w:szCs w:val="18"/>
        </w:rPr>
        <w:t xml:space="preserve"> FINAL COMPARISON</w:t>
      </w:r>
      <w:r>
        <w:rPr>
          <w:rFonts w:ascii="Palatino Linotype" w:hAnsi="Palatino Linotype"/>
          <w:sz w:val="20"/>
          <w:szCs w:val="20"/>
        </w:rPr>
        <w:t>)</w:t>
      </w:r>
    </w:p>
    <w:p w14:paraId="1172C37B" w14:textId="77777777" w:rsidR="00DA678D" w:rsidRDefault="00DA678D" w:rsidP="006127CA">
      <w:pPr>
        <w:spacing w:line="360" w:lineRule="auto"/>
        <w:jc w:val="both"/>
        <w:rPr>
          <w:rFonts w:ascii="Palatino Linotype" w:hAnsi="Palatino Linotype"/>
          <w:sz w:val="20"/>
          <w:szCs w:val="20"/>
        </w:rPr>
      </w:pPr>
    </w:p>
    <w:p w14:paraId="4C124112" w14:textId="70D2B790" w:rsidR="000F64AF" w:rsidRDefault="00AB09D4" w:rsidP="006127CA">
      <w:pPr>
        <w:spacing w:line="360" w:lineRule="auto"/>
        <w:jc w:val="both"/>
        <w:rPr>
          <w:rFonts w:ascii="Palatino Linotype" w:hAnsi="Palatino Linotype"/>
          <w:sz w:val="20"/>
          <w:szCs w:val="20"/>
        </w:rPr>
      </w:pPr>
      <w:r>
        <w:rPr>
          <w:rFonts w:ascii="Palatino Linotype" w:hAnsi="Palatino Linotype"/>
          <w:sz w:val="20"/>
          <w:szCs w:val="20"/>
        </w:rPr>
        <w:t xml:space="preserve">By looking at the </w:t>
      </w:r>
      <w:r w:rsidR="00FE0296">
        <w:rPr>
          <w:rFonts w:ascii="Palatino Linotype" w:hAnsi="Palatino Linotype"/>
          <w:sz w:val="20"/>
          <w:szCs w:val="20"/>
        </w:rPr>
        <w:t>chart</w:t>
      </w:r>
      <w:r>
        <w:rPr>
          <w:rFonts w:ascii="Palatino Linotype" w:hAnsi="Palatino Linotype"/>
          <w:sz w:val="20"/>
          <w:szCs w:val="20"/>
        </w:rPr>
        <w:t xml:space="preserve">, we can clearly </w:t>
      </w:r>
      <w:r w:rsidR="00FE0296">
        <w:rPr>
          <w:rFonts w:ascii="Palatino Linotype" w:hAnsi="Palatino Linotype"/>
          <w:sz w:val="20"/>
          <w:szCs w:val="20"/>
        </w:rPr>
        <w:t xml:space="preserve">distinguish two groups that perform with </w:t>
      </w:r>
      <w:r w:rsidR="008157C8">
        <w:rPr>
          <w:rFonts w:ascii="Palatino Linotype" w:hAnsi="Palatino Linotype"/>
          <w:sz w:val="20"/>
          <w:szCs w:val="20"/>
        </w:rPr>
        <w:t>results</w:t>
      </w:r>
      <w:r>
        <w:rPr>
          <w:rFonts w:ascii="Palatino Linotype" w:hAnsi="Palatino Linotype"/>
          <w:sz w:val="20"/>
          <w:szCs w:val="20"/>
        </w:rPr>
        <w:t xml:space="preserve">. </w:t>
      </w:r>
      <w:r w:rsidR="00FE0296">
        <w:rPr>
          <w:rFonts w:ascii="Palatino Linotype" w:hAnsi="Palatino Linotype"/>
          <w:sz w:val="20"/>
          <w:szCs w:val="20"/>
        </w:rPr>
        <w:t xml:space="preserve">These are formed by </w:t>
      </w:r>
      <w:r w:rsidR="008157C8">
        <w:rPr>
          <w:rFonts w:ascii="Palatino Linotype" w:hAnsi="Palatino Linotype"/>
          <w:sz w:val="20"/>
          <w:szCs w:val="20"/>
        </w:rPr>
        <w:t>Gold and Coffee, where the Normal SABR and Mixture SABR are performing the worst on average, then Silver, where the Mixture and the Heston model have larger RMSE on average across most tenors</w:t>
      </w:r>
      <w:r w:rsidR="000F64AF">
        <w:rPr>
          <w:rFonts w:ascii="Palatino Linotype" w:hAnsi="Palatino Linotype"/>
          <w:sz w:val="20"/>
          <w:szCs w:val="20"/>
        </w:rPr>
        <w:t xml:space="preserve">. </w:t>
      </w:r>
      <w:r w:rsidR="00B224CD">
        <w:rPr>
          <w:rFonts w:ascii="Palatino Linotype" w:hAnsi="Palatino Linotype"/>
          <w:sz w:val="20"/>
          <w:szCs w:val="20"/>
        </w:rPr>
        <w:t xml:space="preserve">The other cases, classic non-normal and Free Boundary SABR models perform generally better across all datasets </w:t>
      </w:r>
      <w:r w:rsidR="006C69AD">
        <w:rPr>
          <w:rFonts w:ascii="Palatino Linotype" w:hAnsi="Palatino Linotype"/>
          <w:sz w:val="20"/>
          <w:szCs w:val="20"/>
        </w:rPr>
        <w:t>except for</w:t>
      </w:r>
      <w:r w:rsidR="00B224CD">
        <w:rPr>
          <w:rFonts w:ascii="Palatino Linotype" w:hAnsi="Palatino Linotype"/>
          <w:sz w:val="20"/>
          <w:szCs w:val="20"/>
        </w:rPr>
        <w:t xml:space="preserve"> the Normal Free Boundary SABR that</w:t>
      </w:r>
      <w:r w:rsidR="00555821">
        <w:rPr>
          <w:rFonts w:ascii="Palatino Linotype" w:hAnsi="Palatino Linotype"/>
          <w:sz w:val="20"/>
          <w:szCs w:val="20"/>
        </w:rPr>
        <w:t xml:space="preserve"> </w:t>
      </w:r>
      <w:r w:rsidR="00B224CD">
        <w:rPr>
          <w:rFonts w:ascii="Palatino Linotype" w:hAnsi="Palatino Linotype"/>
          <w:sz w:val="20"/>
          <w:szCs w:val="20"/>
        </w:rPr>
        <w:t xml:space="preserve">performs poorly on Coffee options data, especially for mid to long </w:t>
      </w:r>
      <w:r w:rsidR="009A7648">
        <w:rPr>
          <w:rFonts w:ascii="Palatino Linotype" w:hAnsi="Palatino Linotype"/>
          <w:sz w:val="20"/>
          <w:szCs w:val="20"/>
        </w:rPr>
        <w:t>maturities</w:t>
      </w:r>
      <w:r w:rsidR="00B224CD">
        <w:rPr>
          <w:rFonts w:ascii="Palatino Linotype" w:hAnsi="Palatino Linotype"/>
          <w:sz w:val="20"/>
          <w:szCs w:val="20"/>
        </w:rPr>
        <w:t xml:space="preserve">. </w:t>
      </w:r>
      <w:r w:rsidR="008168AC">
        <w:rPr>
          <w:rFonts w:ascii="Palatino Linotype" w:hAnsi="Palatino Linotype"/>
          <w:sz w:val="20"/>
          <w:szCs w:val="20"/>
        </w:rPr>
        <w:t xml:space="preserve">A table with average implied volatility RMSE on each commodity is shown below for further explaining overall performance. </w:t>
      </w:r>
    </w:p>
    <w:p w14:paraId="77A07070" w14:textId="52E7A28A" w:rsidR="008168AC" w:rsidRDefault="008168AC" w:rsidP="006127CA">
      <w:pPr>
        <w:spacing w:line="360" w:lineRule="auto"/>
        <w:jc w:val="both"/>
        <w:rPr>
          <w:rFonts w:ascii="Palatino Linotype" w:hAnsi="Palatino Linotype"/>
          <w:sz w:val="20"/>
          <w:szCs w:val="20"/>
        </w:rPr>
      </w:pPr>
    </w:p>
    <w:p w14:paraId="1B535EAD" w14:textId="59AAD97A" w:rsidR="008168AC" w:rsidRDefault="008168AC" w:rsidP="006127CA">
      <w:pPr>
        <w:spacing w:line="360" w:lineRule="auto"/>
        <w:jc w:val="both"/>
        <w:rPr>
          <w:rFonts w:ascii="Palatino Linotype" w:hAnsi="Palatino Linotype"/>
          <w:sz w:val="20"/>
          <w:szCs w:val="20"/>
        </w:rPr>
      </w:pPr>
      <w:r>
        <w:rPr>
          <w:rFonts w:ascii="Palatino Linotype" w:hAnsi="Palatino Linotype"/>
          <w:sz w:val="20"/>
          <w:szCs w:val="20"/>
        </w:rPr>
        <w:t>FIGURE(MEAN performance of models for each commodity)</w:t>
      </w:r>
    </w:p>
    <w:p w14:paraId="5B4E1B30" w14:textId="77777777" w:rsidR="008168AC" w:rsidRDefault="008168AC" w:rsidP="006127CA">
      <w:pPr>
        <w:spacing w:line="360" w:lineRule="auto"/>
        <w:jc w:val="both"/>
        <w:rPr>
          <w:rFonts w:ascii="Palatino Linotype" w:hAnsi="Palatino Linotype"/>
          <w:sz w:val="20"/>
          <w:szCs w:val="20"/>
        </w:rPr>
      </w:pPr>
    </w:p>
    <w:p w14:paraId="36BD790D" w14:textId="67F426D6" w:rsidR="002B5685" w:rsidRDefault="00523058" w:rsidP="006127CA">
      <w:pPr>
        <w:spacing w:line="360" w:lineRule="auto"/>
        <w:jc w:val="both"/>
        <w:rPr>
          <w:rFonts w:ascii="Palatino Linotype" w:hAnsi="Palatino Linotype"/>
          <w:sz w:val="20"/>
          <w:szCs w:val="20"/>
        </w:rPr>
      </w:pPr>
      <w:r>
        <w:rPr>
          <w:rFonts w:ascii="Palatino Linotype" w:hAnsi="Palatino Linotype"/>
          <w:sz w:val="20"/>
          <w:szCs w:val="20"/>
        </w:rPr>
        <w:t xml:space="preserve">To further assess our results, we shall present the same errors chart showing top performing models. That is with the exclusion of Mixture SABR, Normal SABR and/or Heston model for each commodity. In addition, the shifted SABR is plotted for a wider comparison. </w:t>
      </w:r>
    </w:p>
    <w:p w14:paraId="01033230" w14:textId="5DB27AA0" w:rsidR="00717E59" w:rsidRDefault="00717E59" w:rsidP="006127CA">
      <w:pPr>
        <w:shd w:val="clear" w:color="auto" w:fill="FFFFFF"/>
        <w:spacing w:line="360" w:lineRule="auto"/>
        <w:rPr>
          <w:rFonts w:ascii="Palatino Linotype" w:hAnsi="Palatino Linotype"/>
          <w:sz w:val="20"/>
          <w:szCs w:val="20"/>
        </w:rPr>
      </w:pPr>
    </w:p>
    <w:p w14:paraId="231740A4" w14:textId="75EF28B1" w:rsidR="00E57BFD" w:rsidRDefault="00E57BFD" w:rsidP="006127CA">
      <w:pPr>
        <w:shd w:val="clear" w:color="auto" w:fill="FFFFFF"/>
        <w:spacing w:line="360" w:lineRule="auto"/>
        <w:rPr>
          <w:rFonts w:ascii="Palatino Linotype" w:hAnsi="Palatino Linotype"/>
          <w:sz w:val="20"/>
          <w:szCs w:val="20"/>
        </w:rPr>
      </w:pPr>
      <w:r>
        <w:rPr>
          <w:rFonts w:ascii="Palatino Linotype" w:hAnsi="Palatino Linotype"/>
          <w:sz w:val="20"/>
          <w:szCs w:val="20"/>
        </w:rPr>
        <w:t>FIGURE(volatility smiles comparison for top performance)</w:t>
      </w:r>
    </w:p>
    <w:p w14:paraId="72F90FA0" w14:textId="5C5D1CF1" w:rsidR="00E57BFD" w:rsidRDefault="00E57BFD" w:rsidP="006127CA">
      <w:pPr>
        <w:shd w:val="clear" w:color="auto" w:fill="FFFFFF"/>
        <w:spacing w:line="360" w:lineRule="auto"/>
        <w:rPr>
          <w:rFonts w:ascii="Palatino Linotype" w:hAnsi="Palatino Linotype"/>
          <w:sz w:val="20"/>
          <w:szCs w:val="20"/>
        </w:rPr>
      </w:pPr>
      <w:r>
        <w:rPr>
          <w:rFonts w:ascii="Palatino Linotype" w:hAnsi="Palatino Linotype"/>
          <w:sz w:val="20"/>
          <w:szCs w:val="20"/>
        </w:rPr>
        <w:t>FIGURE (MEAN performance of top performing models)</w:t>
      </w:r>
    </w:p>
    <w:p w14:paraId="7B2C1E37" w14:textId="66902DEC" w:rsidR="00873224" w:rsidRDefault="00873224" w:rsidP="006127CA">
      <w:pPr>
        <w:shd w:val="clear" w:color="auto" w:fill="FFFFFF"/>
        <w:spacing w:line="360" w:lineRule="auto"/>
        <w:rPr>
          <w:rFonts w:ascii="Palatino Linotype" w:hAnsi="Palatino Linotype"/>
          <w:sz w:val="20"/>
          <w:szCs w:val="20"/>
        </w:rPr>
      </w:pPr>
    </w:p>
    <w:p w14:paraId="443EA002" w14:textId="5B3055B6" w:rsidR="00873224" w:rsidRDefault="009E06CC" w:rsidP="006127CA">
      <w:pPr>
        <w:shd w:val="clear" w:color="auto" w:fill="FFFFFF"/>
        <w:spacing w:line="360" w:lineRule="auto"/>
        <w:rPr>
          <w:rFonts w:ascii="Palatino Linotype" w:hAnsi="Palatino Linotype"/>
          <w:sz w:val="20"/>
          <w:szCs w:val="20"/>
        </w:rPr>
      </w:pPr>
      <w:r>
        <w:rPr>
          <w:rFonts w:ascii="Palatino Linotype" w:hAnsi="Palatino Linotype"/>
          <w:sz w:val="20"/>
          <w:szCs w:val="20"/>
        </w:rPr>
        <w:lastRenderedPageBreak/>
        <w:t>As</w:t>
      </w:r>
      <w:r w:rsidR="00740F61">
        <w:rPr>
          <w:rFonts w:ascii="Palatino Linotype" w:hAnsi="Palatino Linotype"/>
          <w:sz w:val="20"/>
          <w:szCs w:val="20"/>
        </w:rPr>
        <w:t xml:space="preserve"> stated before,</w:t>
      </w:r>
      <w:r>
        <w:rPr>
          <w:rFonts w:ascii="Palatino Linotype" w:hAnsi="Palatino Linotype"/>
          <w:sz w:val="20"/>
          <w:szCs w:val="20"/>
        </w:rPr>
        <w:t xml:space="preserve"> whereas</w:t>
      </w:r>
      <w:r w:rsidR="00740F61">
        <w:rPr>
          <w:rFonts w:ascii="Palatino Linotype" w:hAnsi="Palatino Linotype"/>
          <w:sz w:val="20"/>
          <w:szCs w:val="20"/>
        </w:rPr>
        <w:t xml:space="preserve"> the Heston model is an outlier as it performs well mostly as time to maturity </w:t>
      </w:r>
      <w:r w:rsidR="00177334">
        <w:rPr>
          <w:rFonts w:ascii="Palatino Linotype" w:hAnsi="Palatino Linotype"/>
          <w:sz w:val="20"/>
          <w:szCs w:val="20"/>
        </w:rPr>
        <w:t>increases</w:t>
      </w:r>
      <w:r>
        <w:rPr>
          <w:rFonts w:ascii="Palatino Linotype" w:hAnsi="Palatino Linotype"/>
          <w:sz w:val="20"/>
          <w:szCs w:val="20"/>
        </w:rPr>
        <w:t xml:space="preserve">, there is no considerable difference between </w:t>
      </w:r>
      <w:r w:rsidR="00B40EC8">
        <w:rPr>
          <w:rFonts w:ascii="Palatino Linotype" w:hAnsi="Palatino Linotype"/>
          <w:sz w:val="20"/>
          <w:szCs w:val="20"/>
        </w:rPr>
        <w:t>the other top</w:t>
      </w:r>
      <w:r>
        <w:rPr>
          <w:rFonts w:ascii="Palatino Linotype" w:hAnsi="Palatino Linotype"/>
          <w:sz w:val="20"/>
          <w:szCs w:val="20"/>
        </w:rPr>
        <w:t xml:space="preserve"> performing models, as functions have a small degree of change in curvature or slope</w:t>
      </w:r>
      <w:r w:rsidR="00D939F3">
        <w:rPr>
          <w:rFonts w:ascii="Palatino Linotype" w:hAnsi="Palatino Linotype"/>
          <w:sz w:val="20"/>
          <w:szCs w:val="20"/>
        </w:rPr>
        <w:t xml:space="preserve"> but overall behave similarly</w:t>
      </w:r>
      <w:r>
        <w:rPr>
          <w:rFonts w:ascii="Palatino Linotype" w:hAnsi="Palatino Linotype"/>
          <w:sz w:val="20"/>
          <w:szCs w:val="20"/>
        </w:rPr>
        <w:t>.</w:t>
      </w:r>
      <w:r w:rsidR="00D939F3">
        <w:rPr>
          <w:rFonts w:ascii="Palatino Linotype" w:hAnsi="Palatino Linotype"/>
          <w:sz w:val="20"/>
          <w:szCs w:val="20"/>
        </w:rPr>
        <w:t xml:space="preserve"> By looking at the averages, </w:t>
      </w:r>
    </w:p>
    <w:p w14:paraId="3C4EF63F" w14:textId="77777777" w:rsidR="00E90D7A" w:rsidRPr="004C0C11" w:rsidRDefault="00E90D7A" w:rsidP="006127CA">
      <w:pPr>
        <w:shd w:val="clear" w:color="auto" w:fill="FFFFFF"/>
        <w:spacing w:line="360" w:lineRule="auto"/>
        <w:rPr>
          <w:rFonts w:ascii="Consolas" w:hAnsi="Consolas"/>
          <w:color w:val="000000"/>
          <w:sz w:val="18"/>
          <w:szCs w:val="18"/>
        </w:rPr>
      </w:pPr>
    </w:p>
    <w:p w14:paraId="026C2132" w14:textId="091A93A7" w:rsidR="00A727C2" w:rsidRDefault="00A727C2" w:rsidP="006127CA">
      <w:pPr>
        <w:pStyle w:val="Heading3"/>
        <w:spacing w:line="360" w:lineRule="auto"/>
      </w:pPr>
      <w:r>
        <w:t xml:space="preserve">Implied Volatility Density </w:t>
      </w:r>
    </w:p>
    <w:p w14:paraId="237F7BCB" w14:textId="39FBDA5F" w:rsidR="00A727C2" w:rsidRDefault="00A727C2" w:rsidP="006127CA">
      <w:pPr>
        <w:pStyle w:val="Heading3"/>
        <w:spacing w:line="360" w:lineRule="auto"/>
      </w:pPr>
      <w:r>
        <w:t>Computation time</w:t>
      </w:r>
    </w:p>
    <w:p w14:paraId="0DF53DDD" w14:textId="4B90350C" w:rsidR="00A727C2" w:rsidRDefault="00A727C2" w:rsidP="006127CA">
      <w:pPr>
        <w:pStyle w:val="Heading2"/>
        <w:spacing w:line="360" w:lineRule="auto"/>
      </w:pPr>
      <w:r>
        <w:t>Result</w:t>
      </w:r>
    </w:p>
    <w:p w14:paraId="1E78F60A" w14:textId="77777777" w:rsidR="00806785" w:rsidRPr="00803F50" w:rsidRDefault="00BA1BE9" w:rsidP="006127C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6127CA">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6127CA">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6127CA">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6127CA">
      <w:pPr>
        <w:pStyle w:val="ReferenceHead"/>
        <w:spacing w:line="360" w:lineRule="auto"/>
        <w:jc w:val="both"/>
        <w:rPr>
          <w:rFonts w:ascii="Palatino Linotype" w:hAnsi="Palatino Linotype"/>
        </w:rPr>
      </w:pPr>
      <w:r w:rsidRPr="00803F50">
        <w:rPr>
          <w:rFonts w:ascii="Palatino Linotype" w:hAnsi="Palatino Linotype"/>
        </w:rPr>
        <w:t>Acknowledgment</w:t>
      </w:r>
    </w:p>
    <w:p w14:paraId="0A223E30" w14:textId="2689E92C" w:rsidR="00667F33" w:rsidRDefault="00CC571E" w:rsidP="006127CA">
      <w:pPr>
        <w:pStyle w:val="Text"/>
        <w:spacing w:line="360" w:lineRule="auto"/>
        <w:rPr>
          <w:rFonts w:ascii="Palatino Linotype" w:hAnsi="Palatino Linotype"/>
        </w:rPr>
      </w:pPr>
      <w:r>
        <w:rPr>
          <w:rFonts w:ascii="Palatino Linotype" w:hAnsi="Palatino Linotype"/>
        </w:rPr>
        <w:t xml:space="preserve">Firstly, </w:t>
      </w:r>
      <w:r w:rsidR="000900A7">
        <w:rPr>
          <w:rFonts w:ascii="Palatino Linotype" w:hAnsi="Palatino Linotype"/>
        </w:rPr>
        <w:t xml:space="preserve">I would like to thank my thesis supervisor, for helping me in the final format of the thesis and for responding with critical feedback when this was needed. </w:t>
      </w:r>
    </w:p>
    <w:p w14:paraId="06FA1706" w14:textId="24C5D750" w:rsidR="00BA1BE9" w:rsidRPr="00803F50" w:rsidRDefault="00CC571E" w:rsidP="006127CA">
      <w:pPr>
        <w:pStyle w:val="Text"/>
        <w:spacing w:line="360" w:lineRule="auto"/>
        <w:rPr>
          <w:rFonts w:ascii="Palatino Linotype" w:hAnsi="Palatino Linotype"/>
        </w:rPr>
      </w:pPr>
      <w:r>
        <w:rPr>
          <w:rFonts w:ascii="Palatino Linotype" w:hAnsi="Palatino Linotype"/>
        </w:rPr>
        <w:t xml:space="preserve">Secondly, </w:t>
      </w:r>
      <w:r w:rsidR="000900A7">
        <w:rPr>
          <w:rFonts w:ascii="Palatino Linotype" w:hAnsi="Palatino Linotype"/>
        </w:rPr>
        <w:t>I would also like to thank my mother and my brother who have helped indirectly by both being available and helping with</w:t>
      </w:r>
      <w:r w:rsidR="000C5DCE">
        <w:rPr>
          <w:rFonts w:ascii="Palatino Linotype" w:hAnsi="Palatino Linotype"/>
        </w:rPr>
        <w:t xml:space="preserve"> their</w:t>
      </w:r>
      <w:r w:rsidR="000900A7">
        <w:rPr>
          <w:rFonts w:ascii="Palatino Linotype" w:hAnsi="Palatino Linotype"/>
        </w:rPr>
        <w:t xml:space="preserve"> emotional support, especially during these unsure times of pandemic.</w:t>
      </w:r>
    </w:p>
    <w:p w14:paraId="4351E479" w14:textId="77777777" w:rsidR="00BA1BE9" w:rsidRPr="00803F50" w:rsidRDefault="00BA1BE9" w:rsidP="006127CA">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6127C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6127C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6127C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6127CA">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6127C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6127C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6127CA">
      <w:pPr>
        <w:spacing w:line="360" w:lineRule="auto"/>
        <w:jc w:val="both"/>
        <w:rPr>
          <w:rFonts w:ascii="Palatino Linotype" w:hAnsi="Palatino Linotype"/>
          <w:b/>
          <w:bCs/>
          <w:sz w:val="20"/>
          <w:szCs w:val="20"/>
        </w:rPr>
      </w:pPr>
    </w:p>
    <w:p w14:paraId="4655CE07" w14:textId="77777777" w:rsidR="00A5423C" w:rsidRPr="00803F50" w:rsidRDefault="00A5423C" w:rsidP="006127CA">
      <w:pPr>
        <w:pStyle w:val="ReferenceHead"/>
        <w:spacing w:line="360" w:lineRule="auto"/>
        <w:jc w:val="both"/>
        <w:rPr>
          <w:rFonts w:ascii="Palatino Linotype" w:hAnsi="Palatino Linotype"/>
        </w:rPr>
      </w:pPr>
      <w:r w:rsidRPr="00803F50">
        <w:rPr>
          <w:rFonts w:ascii="Palatino Linotype" w:hAnsi="Palatino Linotype"/>
        </w:rPr>
        <w:lastRenderedPageBreak/>
        <w:t>Authors</w:t>
      </w:r>
    </w:p>
    <w:p w14:paraId="37F816AD" w14:textId="6A6F367C" w:rsidR="0008198A" w:rsidRPr="00803F50" w:rsidRDefault="008A79B4" w:rsidP="006127C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6127CA">
      <w:pPr>
        <w:spacing w:line="360" w:lineRule="auto"/>
        <w:jc w:val="both"/>
        <w:rPr>
          <w:rFonts w:ascii="Palatino Linotype" w:hAnsi="Palatino Linotype"/>
          <w:sz w:val="20"/>
          <w:szCs w:val="20"/>
        </w:rPr>
      </w:pPr>
    </w:p>
    <w:p w14:paraId="438AC18A" w14:textId="77777777" w:rsidR="008805D9" w:rsidRPr="00803F50" w:rsidRDefault="0008198A" w:rsidP="006127CA">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6127CA">
      <w:pPr>
        <w:spacing w:line="360" w:lineRule="auto"/>
        <w:jc w:val="both"/>
        <w:rPr>
          <w:rFonts w:ascii="Palatino Linotype" w:hAnsi="Palatino Linotype"/>
          <w:sz w:val="20"/>
          <w:szCs w:val="20"/>
        </w:rPr>
      </w:pPr>
    </w:p>
    <w:p w14:paraId="68C18BA7" w14:textId="77777777" w:rsidR="008A79B4" w:rsidRPr="00803F50" w:rsidRDefault="008A79B4" w:rsidP="006127CA">
      <w:pPr>
        <w:spacing w:line="360" w:lineRule="auto"/>
        <w:jc w:val="both"/>
        <w:rPr>
          <w:rFonts w:ascii="Palatino Linotype" w:hAnsi="Palatino Linotype"/>
          <w:sz w:val="20"/>
          <w:szCs w:val="20"/>
        </w:rPr>
      </w:pPr>
    </w:p>
    <w:p w14:paraId="64176A85" w14:textId="77777777" w:rsidR="008A79B4" w:rsidRPr="00803F50" w:rsidRDefault="008A79B4" w:rsidP="006127CA">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6127CA">
      <w:pPr>
        <w:pStyle w:val="BodyText"/>
        <w:spacing w:line="360" w:lineRule="auto"/>
        <w:rPr>
          <w:rFonts w:ascii="Palatino Linotype" w:hAnsi="Palatino Linotype"/>
          <w:sz w:val="20"/>
          <w:szCs w:val="20"/>
        </w:rPr>
      </w:pPr>
    </w:p>
    <w:p w14:paraId="4C1E51DF" w14:textId="77777777" w:rsidR="0099582D" w:rsidRPr="00803F50" w:rsidRDefault="0099582D" w:rsidP="006127CA">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F71A" w14:textId="77777777" w:rsidR="009859DB" w:rsidRDefault="009859DB">
      <w:r>
        <w:separator/>
      </w:r>
    </w:p>
  </w:endnote>
  <w:endnote w:type="continuationSeparator" w:id="0">
    <w:p w14:paraId="04D6FF55" w14:textId="77777777" w:rsidR="009859DB" w:rsidRDefault="0098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955F" w14:textId="77777777" w:rsidR="009859DB" w:rsidRDefault="009859DB">
      <w:r>
        <w:separator/>
      </w:r>
    </w:p>
  </w:footnote>
  <w:footnote w:type="continuationSeparator" w:id="0">
    <w:p w14:paraId="726555B9" w14:textId="77777777" w:rsidR="009859DB" w:rsidRDefault="00985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206"/>
    <w:rsid w:val="00005BFC"/>
    <w:rsid w:val="00010200"/>
    <w:rsid w:val="0001039C"/>
    <w:rsid w:val="00012AE6"/>
    <w:rsid w:val="0001362B"/>
    <w:rsid w:val="0001399B"/>
    <w:rsid w:val="00014B1C"/>
    <w:rsid w:val="00015700"/>
    <w:rsid w:val="00016117"/>
    <w:rsid w:val="00016646"/>
    <w:rsid w:val="0001689B"/>
    <w:rsid w:val="00016D3D"/>
    <w:rsid w:val="00017B4A"/>
    <w:rsid w:val="00020D73"/>
    <w:rsid w:val="000215A1"/>
    <w:rsid w:val="00021B74"/>
    <w:rsid w:val="00022779"/>
    <w:rsid w:val="00026B34"/>
    <w:rsid w:val="000278E0"/>
    <w:rsid w:val="000307D9"/>
    <w:rsid w:val="00031003"/>
    <w:rsid w:val="00031C60"/>
    <w:rsid w:val="0003247D"/>
    <w:rsid w:val="00032B4C"/>
    <w:rsid w:val="00035F06"/>
    <w:rsid w:val="00040041"/>
    <w:rsid w:val="00040DEC"/>
    <w:rsid w:val="00041E5D"/>
    <w:rsid w:val="00042491"/>
    <w:rsid w:val="0004293E"/>
    <w:rsid w:val="00044C3F"/>
    <w:rsid w:val="0004569C"/>
    <w:rsid w:val="00046608"/>
    <w:rsid w:val="0004742C"/>
    <w:rsid w:val="0005176A"/>
    <w:rsid w:val="00052382"/>
    <w:rsid w:val="00053904"/>
    <w:rsid w:val="0005654E"/>
    <w:rsid w:val="00056B3F"/>
    <w:rsid w:val="00057235"/>
    <w:rsid w:val="00057C21"/>
    <w:rsid w:val="00057E5E"/>
    <w:rsid w:val="0006092C"/>
    <w:rsid w:val="00060A16"/>
    <w:rsid w:val="00060CA0"/>
    <w:rsid w:val="00060D16"/>
    <w:rsid w:val="00061084"/>
    <w:rsid w:val="00063515"/>
    <w:rsid w:val="00064C8B"/>
    <w:rsid w:val="00065651"/>
    <w:rsid w:val="00066C52"/>
    <w:rsid w:val="00066F15"/>
    <w:rsid w:val="000702D4"/>
    <w:rsid w:val="000714CD"/>
    <w:rsid w:val="000722FA"/>
    <w:rsid w:val="00072E8C"/>
    <w:rsid w:val="00073A43"/>
    <w:rsid w:val="00074D8E"/>
    <w:rsid w:val="00076B9E"/>
    <w:rsid w:val="0007723D"/>
    <w:rsid w:val="00077EBF"/>
    <w:rsid w:val="00080612"/>
    <w:rsid w:val="000813F6"/>
    <w:rsid w:val="0008198A"/>
    <w:rsid w:val="00084518"/>
    <w:rsid w:val="000850E2"/>
    <w:rsid w:val="00087E1C"/>
    <w:rsid w:val="000900A7"/>
    <w:rsid w:val="00090861"/>
    <w:rsid w:val="00092495"/>
    <w:rsid w:val="000924CA"/>
    <w:rsid w:val="00093626"/>
    <w:rsid w:val="00093E42"/>
    <w:rsid w:val="000942E9"/>
    <w:rsid w:val="00094A42"/>
    <w:rsid w:val="00094BD0"/>
    <w:rsid w:val="000962EB"/>
    <w:rsid w:val="00096CA5"/>
    <w:rsid w:val="00097EAC"/>
    <w:rsid w:val="000A02A6"/>
    <w:rsid w:val="000A0D40"/>
    <w:rsid w:val="000A10B3"/>
    <w:rsid w:val="000A208E"/>
    <w:rsid w:val="000A37FB"/>
    <w:rsid w:val="000A3AA0"/>
    <w:rsid w:val="000A445A"/>
    <w:rsid w:val="000A6011"/>
    <w:rsid w:val="000A704F"/>
    <w:rsid w:val="000B00B4"/>
    <w:rsid w:val="000B0BB2"/>
    <w:rsid w:val="000B120C"/>
    <w:rsid w:val="000B2891"/>
    <w:rsid w:val="000B33BF"/>
    <w:rsid w:val="000B3776"/>
    <w:rsid w:val="000B392C"/>
    <w:rsid w:val="000B3EDF"/>
    <w:rsid w:val="000B46BD"/>
    <w:rsid w:val="000B5832"/>
    <w:rsid w:val="000B64C4"/>
    <w:rsid w:val="000C02A9"/>
    <w:rsid w:val="000C07A9"/>
    <w:rsid w:val="000C1197"/>
    <w:rsid w:val="000C133C"/>
    <w:rsid w:val="000C1CB5"/>
    <w:rsid w:val="000C1E0F"/>
    <w:rsid w:val="000C2A28"/>
    <w:rsid w:val="000C42E1"/>
    <w:rsid w:val="000C4765"/>
    <w:rsid w:val="000C4A3E"/>
    <w:rsid w:val="000C5DCE"/>
    <w:rsid w:val="000C643D"/>
    <w:rsid w:val="000C675C"/>
    <w:rsid w:val="000C6AC4"/>
    <w:rsid w:val="000C7945"/>
    <w:rsid w:val="000D01A8"/>
    <w:rsid w:val="000D308D"/>
    <w:rsid w:val="000D342D"/>
    <w:rsid w:val="000D35C0"/>
    <w:rsid w:val="000D4465"/>
    <w:rsid w:val="000D48D6"/>
    <w:rsid w:val="000D4C9E"/>
    <w:rsid w:val="000D6218"/>
    <w:rsid w:val="000D791D"/>
    <w:rsid w:val="000D7CB0"/>
    <w:rsid w:val="000E096A"/>
    <w:rsid w:val="000E2AE9"/>
    <w:rsid w:val="000E2C7B"/>
    <w:rsid w:val="000E36C7"/>
    <w:rsid w:val="000E42DE"/>
    <w:rsid w:val="000E47DF"/>
    <w:rsid w:val="000E627B"/>
    <w:rsid w:val="000E6480"/>
    <w:rsid w:val="000F1059"/>
    <w:rsid w:val="000F3BC4"/>
    <w:rsid w:val="000F4659"/>
    <w:rsid w:val="000F63E4"/>
    <w:rsid w:val="000F64AF"/>
    <w:rsid w:val="000F6752"/>
    <w:rsid w:val="00101788"/>
    <w:rsid w:val="00101946"/>
    <w:rsid w:val="0010194F"/>
    <w:rsid w:val="001038CA"/>
    <w:rsid w:val="0010545D"/>
    <w:rsid w:val="0010651E"/>
    <w:rsid w:val="00107245"/>
    <w:rsid w:val="00110767"/>
    <w:rsid w:val="00111672"/>
    <w:rsid w:val="00111FB4"/>
    <w:rsid w:val="00112563"/>
    <w:rsid w:val="0011256F"/>
    <w:rsid w:val="00112A56"/>
    <w:rsid w:val="00113D8A"/>
    <w:rsid w:val="00115364"/>
    <w:rsid w:val="00120882"/>
    <w:rsid w:val="001239EE"/>
    <w:rsid w:val="001243DF"/>
    <w:rsid w:val="00124481"/>
    <w:rsid w:val="001253AB"/>
    <w:rsid w:val="001257B8"/>
    <w:rsid w:val="00125978"/>
    <w:rsid w:val="00126194"/>
    <w:rsid w:val="00130C43"/>
    <w:rsid w:val="00131C47"/>
    <w:rsid w:val="0013210E"/>
    <w:rsid w:val="00132446"/>
    <w:rsid w:val="00132633"/>
    <w:rsid w:val="00132D66"/>
    <w:rsid w:val="00133BC2"/>
    <w:rsid w:val="00134316"/>
    <w:rsid w:val="001344DE"/>
    <w:rsid w:val="001368CB"/>
    <w:rsid w:val="00140508"/>
    <w:rsid w:val="001411F3"/>
    <w:rsid w:val="0014290F"/>
    <w:rsid w:val="00142CB2"/>
    <w:rsid w:val="001437F9"/>
    <w:rsid w:val="00144542"/>
    <w:rsid w:val="00144A6E"/>
    <w:rsid w:val="00144D96"/>
    <w:rsid w:val="00144E12"/>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334"/>
    <w:rsid w:val="00177FB9"/>
    <w:rsid w:val="00180441"/>
    <w:rsid w:val="001872FA"/>
    <w:rsid w:val="0018791D"/>
    <w:rsid w:val="00187BD0"/>
    <w:rsid w:val="00187C37"/>
    <w:rsid w:val="00190E66"/>
    <w:rsid w:val="001916D3"/>
    <w:rsid w:val="00193082"/>
    <w:rsid w:val="0019317D"/>
    <w:rsid w:val="00194BD6"/>
    <w:rsid w:val="00194EB4"/>
    <w:rsid w:val="00195424"/>
    <w:rsid w:val="001962D2"/>
    <w:rsid w:val="001964DA"/>
    <w:rsid w:val="0019676A"/>
    <w:rsid w:val="00197245"/>
    <w:rsid w:val="00197BD5"/>
    <w:rsid w:val="001A01A2"/>
    <w:rsid w:val="001A20FF"/>
    <w:rsid w:val="001A29B7"/>
    <w:rsid w:val="001A2A18"/>
    <w:rsid w:val="001A327C"/>
    <w:rsid w:val="001A32B8"/>
    <w:rsid w:val="001A478F"/>
    <w:rsid w:val="001A4A33"/>
    <w:rsid w:val="001A4F8F"/>
    <w:rsid w:val="001A4FB4"/>
    <w:rsid w:val="001A5986"/>
    <w:rsid w:val="001A5DB2"/>
    <w:rsid w:val="001A6235"/>
    <w:rsid w:val="001B0F34"/>
    <w:rsid w:val="001B14E0"/>
    <w:rsid w:val="001B15A5"/>
    <w:rsid w:val="001B2C0A"/>
    <w:rsid w:val="001B46D7"/>
    <w:rsid w:val="001B4890"/>
    <w:rsid w:val="001B517B"/>
    <w:rsid w:val="001B7F7F"/>
    <w:rsid w:val="001C05D8"/>
    <w:rsid w:val="001C0D74"/>
    <w:rsid w:val="001C2420"/>
    <w:rsid w:val="001C308F"/>
    <w:rsid w:val="001C3894"/>
    <w:rsid w:val="001C4699"/>
    <w:rsid w:val="001C4ACC"/>
    <w:rsid w:val="001C5EEA"/>
    <w:rsid w:val="001C72D9"/>
    <w:rsid w:val="001D1FCB"/>
    <w:rsid w:val="001D2E1D"/>
    <w:rsid w:val="001D4745"/>
    <w:rsid w:val="001D5DFC"/>
    <w:rsid w:val="001D63BF"/>
    <w:rsid w:val="001D68CF"/>
    <w:rsid w:val="001E1E88"/>
    <w:rsid w:val="001E21D1"/>
    <w:rsid w:val="001E33DC"/>
    <w:rsid w:val="001E4608"/>
    <w:rsid w:val="001E5199"/>
    <w:rsid w:val="001E55BF"/>
    <w:rsid w:val="001E6923"/>
    <w:rsid w:val="001E6A61"/>
    <w:rsid w:val="001E74C3"/>
    <w:rsid w:val="001E770D"/>
    <w:rsid w:val="001E7B53"/>
    <w:rsid w:val="001E7E94"/>
    <w:rsid w:val="001F0420"/>
    <w:rsid w:val="001F063B"/>
    <w:rsid w:val="001F0821"/>
    <w:rsid w:val="001F18A6"/>
    <w:rsid w:val="001F57C9"/>
    <w:rsid w:val="001F6758"/>
    <w:rsid w:val="001F764B"/>
    <w:rsid w:val="002007C0"/>
    <w:rsid w:val="00201908"/>
    <w:rsid w:val="00202FB5"/>
    <w:rsid w:val="00203489"/>
    <w:rsid w:val="00204974"/>
    <w:rsid w:val="0020594F"/>
    <w:rsid w:val="00207267"/>
    <w:rsid w:val="002076B9"/>
    <w:rsid w:val="00210AEB"/>
    <w:rsid w:val="002110DC"/>
    <w:rsid w:val="00211D72"/>
    <w:rsid w:val="0021475B"/>
    <w:rsid w:val="00215B2A"/>
    <w:rsid w:val="00216F93"/>
    <w:rsid w:val="00217211"/>
    <w:rsid w:val="0022031F"/>
    <w:rsid w:val="0022123B"/>
    <w:rsid w:val="002217F0"/>
    <w:rsid w:val="00223B2A"/>
    <w:rsid w:val="002246B9"/>
    <w:rsid w:val="00227189"/>
    <w:rsid w:val="00230B7E"/>
    <w:rsid w:val="00234504"/>
    <w:rsid w:val="00235E17"/>
    <w:rsid w:val="00236A2F"/>
    <w:rsid w:val="00237623"/>
    <w:rsid w:val="00240142"/>
    <w:rsid w:val="00241BCB"/>
    <w:rsid w:val="00243957"/>
    <w:rsid w:val="00243DFA"/>
    <w:rsid w:val="00243EB8"/>
    <w:rsid w:val="00246F1C"/>
    <w:rsid w:val="00251250"/>
    <w:rsid w:val="0025357B"/>
    <w:rsid w:val="00253705"/>
    <w:rsid w:val="00253A6A"/>
    <w:rsid w:val="0025573A"/>
    <w:rsid w:val="00255CD4"/>
    <w:rsid w:val="00257193"/>
    <w:rsid w:val="0026188B"/>
    <w:rsid w:val="002624D9"/>
    <w:rsid w:val="00262C6F"/>
    <w:rsid w:val="0026671E"/>
    <w:rsid w:val="0026738B"/>
    <w:rsid w:val="002708DD"/>
    <w:rsid w:val="002729E7"/>
    <w:rsid w:val="00273A2D"/>
    <w:rsid w:val="00273FF4"/>
    <w:rsid w:val="0027415C"/>
    <w:rsid w:val="002742A4"/>
    <w:rsid w:val="002764C4"/>
    <w:rsid w:val="002768B5"/>
    <w:rsid w:val="00277011"/>
    <w:rsid w:val="00281046"/>
    <w:rsid w:val="00281197"/>
    <w:rsid w:val="00282963"/>
    <w:rsid w:val="00282C60"/>
    <w:rsid w:val="00283371"/>
    <w:rsid w:val="0028344A"/>
    <w:rsid w:val="00283ABE"/>
    <w:rsid w:val="0028400A"/>
    <w:rsid w:val="00285713"/>
    <w:rsid w:val="0028683F"/>
    <w:rsid w:val="00287F36"/>
    <w:rsid w:val="0029058A"/>
    <w:rsid w:val="00291823"/>
    <w:rsid w:val="00291F18"/>
    <w:rsid w:val="00292927"/>
    <w:rsid w:val="002947A8"/>
    <w:rsid w:val="00295D50"/>
    <w:rsid w:val="00295E50"/>
    <w:rsid w:val="00296FF7"/>
    <w:rsid w:val="002A1011"/>
    <w:rsid w:val="002A1A2F"/>
    <w:rsid w:val="002A2A00"/>
    <w:rsid w:val="002A2F63"/>
    <w:rsid w:val="002A3A4D"/>
    <w:rsid w:val="002A473A"/>
    <w:rsid w:val="002A5A74"/>
    <w:rsid w:val="002A6F44"/>
    <w:rsid w:val="002A7D91"/>
    <w:rsid w:val="002B1B65"/>
    <w:rsid w:val="002B2006"/>
    <w:rsid w:val="002B34CF"/>
    <w:rsid w:val="002B4EC3"/>
    <w:rsid w:val="002B5685"/>
    <w:rsid w:val="002B5FFE"/>
    <w:rsid w:val="002C0007"/>
    <w:rsid w:val="002C02E0"/>
    <w:rsid w:val="002C08C6"/>
    <w:rsid w:val="002C14B8"/>
    <w:rsid w:val="002C27C2"/>
    <w:rsid w:val="002C61DE"/>
    <w:rsid w:val="002C7077"/>
    <w:rsid w:val="002C7A88"/>
    <w:rsid w:val="002D3DEA"/>
    <w:rsid w:val="002D4EDA"/>
    <w:rsid w:val="002D7BEB"/>
    <w:rsid w:val="002E0839"/>
    <w:rsid w:val="002E0EE9"/>
    <w:rsid w:val="002E17B3"/>
    <w:rsid w:val="002E24ED"/>
    <w:rsid w:val="002E312D"/>
    <w:rsid w:val="002E42B9"/>
    <w:rsid w:val="002E4B27"/>
    <w:rsid w:val="002E4B9F"/>
    <w:rsid w:val="002E607E"/>
    <w:rsid w:val="002E61F1"/>
    <w:rsid w:val="002E701C"/>
    <w:rsid w:val="002E778E"/>
    <w:rsid w:val="002E7BC0"/>
    <w:rsid w:val="002E7F56"/>
    <w:rsid w:val="002F1D86"/>
    <w:rsid w:val="002F32CA"/>
    <w:rsid w:val="002F36CD"/>
    <w:rsid w:val="002F4619"/>
    <w:rsid w:val="002F52E5"/>
    <w:rsid w:val="002F62EC"/>
    <w:rsid w:val="002F7389"/>
    <w:rsid w:val="002F7479"/>
    <w:rsid w:val="002F7746"/>
    <w:rsid w:val="00301A42"/>
    <w:rsid w:val="00301C3F"/>
    <w:rsid w:val="00303383"/>
    <w:rsid w:val="00303665"/>
    <w:rsid w:val="00303AFE"/>
    <w:rsid w:val="00303D9F"/>
    <w:rsid w:val="00303DD8"/>
    <w:rsid w:val="0030486D"/>
    <w:rsid w:val="0030502C"/>
    <w:rsid w:val="00305331"/>
    <w:rsid w:val="003070BB"/>
    <w:rsid w:val="00307F65"/>
    <w:rsid w:val="00311810"/>
    <w:rsid w:val="00311AF6"/>
    <w:rsid w:val="003121D7"/>
    <w:rsid w:val="003132C5"/>
    <w:rsid w:val="0031354E"/>
    <w:rsid w:val="003139D5"/>
    <w:rsid w:val="00313C2E"/>
    <w:rsid w:val="00314567"/>
    <w:rsid w:val="00316736"/>
    <w:rsid w:val="00316AEF"/>
    <w:rsid w:val="00316FBA"/>
    <w:rsid w:val="0032284D"/>
    <w:rsid w:val="0032294C"/>
    <w:rsid w:val="003240FD"/>
    <w:rsid w:val="0032413C"/>
    <w:rsid w:val="003241FF"/>
    <w:rsid w:val="00324427"/>
    <w:rsid w:val="00324D1A"/>
    <w:rsid w:val="003276F4"/>
    <w:rsid w:val="00327BAB"/>
    <w:rsid w:val="00330321"/>
    <w:rsid w:val="00330BF4"/>
    <w:rsid w:val="00331FCA"/>
    <w:rsid w:val="0033365C"/>
    <w:rsid w:val="003336B5"/>
    <w:rsid w:val="00333747"/>
    <w:rsid w:val="0033389B"/>
    <w:rsid w:val="00333DE0"/>
    <w:rsid w:val="00333F35"/>
    <w:rsid w:val="00335261"/>
    <w:rsid w:val="003368EF"/>
    <w:rsid w:val="0033699B"/>
    <w:rsid w:val="003403B3"/>
    <w:rsid w:val="003423D3"/>
    <w:rsid w:val="00343F3C"/>
    <w:rsid w:val="00344517"/>
    <w:rsid w:val="003447AE"/>
    <w:rsid w:val="00345284"/>
    <w:rsid w:val="00345FC2"/>
    <w:rsid w:val="00346431"/>
    <w:rsid w:val="003469B6"/>
    <w:rsid w:val="00350214"/>
    <w:rsid w:val="003503EC"/>
    <w:rsid w:val="00350A7B"/>
    <w:rsid w:val="003515D5"/>
    <w:rsid w:val="0035264D"/>
    <w:rsid w:val="00352B15"/>
    <w:rsid w:val="0035317C"/>
    <w:rsid w:val="00355219"/>
    <w:rsid w:val="0035561E"/>
    <w:rsid w:val="003608C9"/>
    <w:rsid w:val="00362683"/>
    <w:rsid w:val="00362B5B"/>
    <w:rsid w:val="00363045"/>
    <w:rsid w:val="003645FC"/>
    <w:rsid w:val="00364D35"/>
    <w:rsid w:val="0036504D"/>
    <w:rsid w:val="00365250"/>
    <w:rsid w:val="0036540F"/>
    <w:rsid w:val="0037070B"/>
    <w:rsid w:val="00370F10"/>
    <w:rsid w:val="0037178C"/>
    <w:rsid w:val="003735FD"/>
    <w:rsid w:val="00376AE6"/>
    <w:rsid w:val="00381E5B"/>
    <w:rsid w:val="00383D9B"/>
    <w:rsid w:val="00384D5E"/>
    <w:rsid w:val="0038568C"/>
    <w:rsid w:val="00387C77"/>
    <w:rsid w:val="0039183D"/>
    <w:rsid w:val="00391FFD"/>
    <w:rsid w:val="00392172"/>
    <w:rsid w:val="003932ED"/>
    <w:rsid w:val="00393364"/>
    <w:rsid w:val="003939F0"/>
    <w:rsid w:val="00394624"/>
    <w:rsid w:val="003946C6"/>
    <w:rsid w:val="00394AE5"/>
    <w:rsid w:val="00395064"/>
    <w:rsid w:val="0039695A"/>
    <w:rsid w:val="00396D2C"/>
    <w:rsid w:val="003974C9"/>
    <w:rsid w:val="003A2A8C"/>
    <w:rsid w:val="003A5484"/>
    <w:rsid w:val="003A61E7"/>
    <w:rsid w:val="003A6FAB"/>
    <w:rsid w:val="003A7656"/>
    <w:rsid w:val="003A7E20"/>
    <w:rsid w:val="003B1498"/>
    <w:rsid w:val="003B1C7A"/>
    <w:rsid w:val="003B1CC1"/>
    <w:rsid w:val="003B2088"/>
    <w:rsid w:val="003B422B"/>
    <w:rsid w:val="003B52A0"/>
    <w:rsid w:val="003B6C42"/>
    <w:rsid w:val="003B7114"/>
    <w:rsid w:val="003C01BB"/>
    <w:rsid w:val="003C090F"/>
    <w:rsid w:val="003C2072"/>
    <w:rsid w:val="003C28DE"/>
    <w:rsid w:val="003C2A5B"/>
    <w:rsid w:val="003C4C5D"/>
    <w:rsid w:val="003C74AA"/>
    <w:rsid w:val="003D0E00"/>
    <w:rsid w:val="003D10FC"/>
    <w:rsid w:val="003D1FAE"/>
    <w:rsid w:val="003D2192"/>
    <w:rsid w:val="003D3B8C"/>
    <w:rsid w:val="003D42F1"/>
    <w:rsid w:val="003D5063"/>
    <w:rsid w:val="003D5224"/>
    <w:rsid w:val="003D5698"/>
    <w:rsid w:val="003D6111"/>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2ACA"/>
    <w:rsid w:val="003F373F"/>
    <w:rsid w:val="003F5D6E"/>
    <w:rsid w:val="003F7277"/>
    <w:rsid w:val="004009E8"/>
    <w:rsid w:val="00403A0D"/>
    <w:rsid w:val="00403B00"/>
    <w:rsid w:val="004043D4"/>
    <w:rsid w:val="004049E6"/>
    <w:rsid w:val="00404DFC"/>
    <w:rsid w:val="00405A9B"/>
    <w:rsid w:val="00406212"/>
    <w:rsid w:val="0040695D"/>
    <w:rsid w:val="004069D6"/>
    <w:rsid w:val="00407F23"/>
    <w:rsid w:val="00410962"/>
    <w:rsid w:val="00410EFC"/>
    <w:rsid w:val="00411345"/>
    <w:rsid w:val="0041159D"/>
    <w:rsid w:val="004125C7"/>
    <w:rsid w:val="004125E3"/>
    <w:rsid w:val="004132EB"/>
    <w:rsid w:val="0041394B"/>
    <w:rsid w:val="00413998"/>
    <w:rsid w:val="004145CB"/>
    <w:rsid w:val="00414FDD"/>
    <w:rsid w:val="004155C3"/>
    <w:rsid w:val="0041563B"/>
    <w:rsid w:val="00416101"/>
    <w:rsid w:val="00416857"/>
    <w:rsid w:val="00416D3B"/>
    <w:rsid w:val="004205CA"/>
    <w:rsid w:val="00421B2A"/>
    <w:rsid w:val="0042251F"/>
    <w:rsid w:val="00422550"/>
    <w:rsid w:val="004235B8"/>
    <w:rsid w:val="00424157"/>
    <w:rsid w:val="00425A64"/>
    <w:rsid w:val="004260FC"/>
    <w:rsid w:val="00427182"/>
    <w:rsid w:val="00427691"/>
    <w:rsid w:val="00433274"/>
    <w:rsid w:val="004336F4"/>
    <w:rsid w:val="00433E13"/>
    <w:rsid w:val="00433EDE"/>
    <w:rsid w:val="00434442"/>
    <w:rsid w:val="00434C0A"/>
    <w:rsid w:val="00435DE2"/>
    <w:rsid w:val="00436E73"/>
    <w:rsid w:val="0043718A"/>
    <w:rsid w:val="00440C74"/>
    <w:rsid w:val="00440D6A"/>
    <w:rsid w:val="00440D7C"/>
    <w:rsid w:val="004410EF"/>
    <w:rsid w:val="004423DB"/>
    <w:rsid w:val="00442442"/>
    <w:rsid w:val="00443B36"/>
    <w:rsid w:val="004441DB"/>
    <w:rsid w:val="0044483C"/>
    <w:rsid w:val="004448AF"/>
    <w:rsid w:val="00447E08"/>
    <w:rsid w:val="0045196D"/>
    <w:rsid w:val="004543D9"/>
    <w:rsid w:val="004552B7"/>
    <w:rsid w:val="00456507"/>
    <w:rsid w:val="0045796F"/>
    <w:rsid w:val="00457D32"/>
    <w:rsid w:val="00460570"/>
    <w:rsid w:val="00463D78"/>
    <w:rsid w:val="0046535E"/>
    <w:rsid w:val="00465D2B"/>
    <w:rsid w:val="00465D89"/>
    <w:rsid w:val="004670B6"/>
    <w:rsid w:val="00470880"/>
    <w:rsid w:val="004710AD"/>
    <w:rsid w:val="00473840"/>
    <w:rsid w:val="00473899"/>
    <w:rsid w:val="0047429E"/>
    <w:rsid w:val="00474CA9"/>
    <w:rsid w:val="0047692E"/>
    <w:rsid w:val="004769AD"/>
    <w:rsid w:val="004771DD"/>
    <w:rsid w:val="004772FB"/>
    <w:rsid w:val="00481B76"/>
    <w:rsid w:val="004844A9"/>
    <w:rsid w:val="00484A33"/>
    <w:rsid w:val="00485E66"/>
    <w:rsid w:val="00486D9B"/>
    <w:rsid w:val="00490ACC"/>
    <w:rsid w:val="004931BC"/>
    <w:rsid w:val="00493644"/>
    <w:rsid w:val="0049615E"/>
    <w:rsid w:val="00496199"/>
    <w:rsid w:val="00496664"/>
    <w:rsid w:val="0049753D"/>
    <w:rsid w:val="004A0EA6"/>
    <w:rsid w:val="004A247A"/>
    <w:rsid w:val="004A3066"/>
    <w:rsid w:val="004A36D3"/>
    <w:rsid w:val="004A545B"/>
    <w:rsid w:val="004A616E"/>
    <w:rsid w:val="004A6F91"/>
    <w:rsid w:val="004A7B46"/>
    <w:rsid w:val="004B073A"/>
    <w:rsid w:val="004B0932"/>
    <w:rsid w:val="004B0E3D"/>
    <w:rsid w:val="004B1B8F"/>
    <w:rsid w:val="004B24E4"/>
    <w:rsid w:val="004B44F3"/>
    <w:rsid w:val="004B5A9B"/>
    <w:rsid w:val="004B5D13"/>
    <w:rsid w:val="004B7907"/>
    <w:rsid w:val="004B7B37"/>
    <w:rsid w:val="004C0C11"/>
    <w:rsid w:val="004C129C"/>
    <w:rsid w:val="004C2467"/>
    <w:rsid w:val="004C3C16"/>
    <w:rsid w:val="004C412E"/>
    <w:rsid w:val="004C4701"/>
    <w:rsid w:val="004C4797"/>
    <w:rsid w:val="004C4799"/>
    <w:rsid w:val="004C54FF"/>
    <w:rsid w:val="004C793F"/>
    <w:rsid w:val="004D0991"/>
    <w:rsid w:val="004D1DFD"/>
    <w:rsid w:val="004D4EE5"/>
    <w:rsid w:val="004D4F16"/>
    <w:rsid w:val="004D63EE"/>
    <w:rsid w:val="004D6445"/>
    <w:rsid w:val="004D78D9"/>
    <w:rsid w:val="004E0D88"/>
    <w:rsid w:val="004E1AEA"/>
    <w:rsid w:val="004E593A"/>
    <w:rsid w:val="004E5E41"/>
    <w:rsid w:val="004E68CB"/>
    <w:rsid w:val="004E6C87"/>
    <w:rsid w:val="004E75FB"/>
    <w:rsid w:val="004E7663"/>
    <w:rsid w:val="004E772C"/>
    <w:rsid w:val="004E7909"/>
    <w:rsid w:val="004E7E90"/>
    <w:rsid w:val="004E7E94"/>
    <w:rsid w:val="004F02BA"/>
    <w:rsid w:val="004F09C8"/>
    <w:rsid w:val="004F0AF1"/>
    <w:rsid w:val="004F178C"/>
    <w:rsid w:val="004F340D"/>
    <w:rsid w:val="004F4418"/>
    <w:rsid w:val="004F4A6E"/>
    <w:rsid w:val="004F4C57"/>
    <w:rsid w:val="004F6E27"/>
    <w:rsid w:val="004F7FB2"/>
    <w:rsid w:val="00502B41"/>
    <w:rsid w:val="00503145"/>
    <w:rsid w:val="005042A9"/>
    <w:rsid w:val="00506572"/>
    <w:rsid w:val="005100D6"/>
    <w:rsid w:val="00510AC5"/>
    <w:rsid w:val="00510D66"/>
    <w:rsid w:val="00511759"/>
    <w:rsid w:val="00511B91"/>
    <w:rsid w:val="00513169"/>
    <w:rsid w:val="00513790"/>
    <w:rsid w:val="005148C5"/>
    <w:rsid w:val="00515662"/>
    <w:rsid w:val="00516F78"/>
    <w:rsid w:val="00517859"/>
    <w:rsid w:val="005178D2"/>
    <w:rsid w:val="00521383"/>
    <w:rsid w:val="00521F1D"/>
    <w:rsid w:val="00521F89"/>
    <w:rsid w:val="00522455"/>
    <w:rsid w:val="00523058"/>
    <w:rsid w:val="005231C6"/>
    <w:rsid w:val="00523584"/>
    <w:rsid w:val="00523E78"/>
    <w:rsid w:val="005256BF"/>
    <w:rsid w:val="0052603D"/>
    <w:rsid w:val="00526C3B"/>
    <w:rsid w:val="005271CB"/>
    <w:rsid w:val="005274EA"/>
    <w:rsid w:val="00532291"/>
    <w:rsid w:val="005346DE"/>
    <w:rsid w:val="0053650F"/>
    <w:rsid w:val="0053709E"/>
    <w:rsid w:val="0053752C"/>
    <w:rsid w:val="00542216"/>
    <w:rsid w:val="00542EA4"/>
    <w:rsid w:val="00542EB8"/>
    <w:rsid w:val="00543DD3"/>
    <w:rsid w:val="00545EF1"/>
    <w:rsid w:val="005466B8"/>
    <w:rsid w:val="00546D69"/>
    <w:rsid w:val="0054712D"/>
    <w:rsid w:val="00547177"/>
    <w:rsid w:val="0054722D"/>
    <w:rsid w:val="00547594"/>
    <w:rsid w:val="005505B5"/>
    <w:rsid w:val="005532F4"/>
    <w:rsid w:val="00555821"/>
    <w:rsid w:val="005558D1"/>
    <w:rsid w:val="00556B91"/>
    <w:rsid w:val="005571AA"/>
    <w:rsid w:val="00557D73"/>
    <w:rsid w:val="00560AFF"/>
    <w:rsid w:val="00560B0C"/>
    <w:rsid w:val="00560C06"/>
    <w:rsid w:val="00560DCE"/>
    <w:rsid w:val="00561621"/>
    <w:rsid w:val="00562323"/>
    <w:rsid w:val="00563198"/>
    <w:rsid w:val="00564382"/>
    <w:rsid w:val="005658F1"/>
    <w:rsid w:val="0056697B"/>
    <w:rsid w:val="00566BEB"/>
    <w:rsid w:val="0057009E"/>
    <w:rsid w:val="00570DE9"/>
    <w:rsid w:val="005710DD"/>
    <w:rsid w:val="00571D9F"/>
    <w:rsid w:val="00572605"/>
    <w:rsid w:val="00575491"/>
    <w:rsid w:val="0057693B"/>
    <w:rsid w:val="00580A5B"/>
    <w:rsid w:val="005811E8"/>
    <w:rsid w:val="005830A4"/>
    <w:rsid w:val="005854D5"/>
    <w:rsid w:val="005856A2"/>
    <w:rsid w:val="00587230"/>
    <w:rsid w:val="0059225A"/>
    <w:rsid w:val="005925C3"/>
    <w:rsid w:val="00594DEA"/>
    <w:rsid w:val="00595BEF"/>
    <w:rsid w:val="00596972"/>
    <w:rsid w:val="0059699F"/>
    <w:rsid w:val="0059746D"/>
    <w:rsid w:val="00597F30"/>
    <w:rsid w:val="005A07BE"/>
    <w:rsid w:val="005A2FF4"/>
    <w:rsid w:val="005A41C2"/>
    <w:rsid w:val="005A4244"/>
    <w:rsid w:val="005B0E7B"/>
    <w:rsid w:val="005B224A"/>
    <w:rsid w:val="005B2879"/>
    <w:rsid w:val="005B358A"/>
    <w:rsid w:val="005B4855"/>
    <w:rsid w:val="005B4BC4"/>
    <w:rsid w:val="005B4BDB"/>
    <w:rsid w:val="005B61E1"/>
    <w:rsid w:val="005B65A6"/>
    <w:rsid w:val="005C01B8"/>
    <w:rsid w:val="005C07F6"/>
    <w:rsid w:val="005C0AF0"/>
    <w:rsid w:val="005C1B7E"/>
    <w:rsid w:val="005C4D32"/>
    <w:rsid w:val="005C5254"/>
    <w:rsid w:val="005C6998"/>
    <w:rsid w:val="005C752A"/>
    <w:rsid w:val="005D06A4"/>
    <w:rsid w:val="005D1736"/>
    <w:rsid w:val="005D3007"/>
    <w:rsid w:val="005D3AC2"/>
    <w:rsid w:val="005D3E0B"/>
    <w:rsid w:val="005D3F57"/>
    <w:rsid w:val="005E008A"/>
    <w:rsid w:val="005E217D"/>
    <w:rsid w:val="005E2474"/>
    <w:rsid w:val="005E28E7"/>
    <w:rsid w:val="005E4A28"/>
    <w:rsid w:val="005E5FDC"/>
    <w:rsid w:val="005E791F"/>
    <w:rsid w:val="005F1708"/>
    <w:rsid w:val="005F3235"/>
    <w:rsid w:val="005F3578"/>
    <w:rsid w:val="005F4215"/>
    <w:rsid w:val="005F5CC4"/>
    <w:rsid w:val="005F6441"/>
    <w:rsid w:val="005F65E4"/>
    <w:rsid w:val="005F7E0A"/>
    <w:rsid w:val="005F7E1D"/>
    <w:rsid w:val="006046AA"/>
    <w:rsid w:val="006046E3"/>
    <w:rsid w:val="0060483B"/>
    <w:rsid w:val="00604C73"/>
    <w:rsid w:val="0060544F"/>
    <w:rsid w:val="00605F7A"/>
    <w:rsid w:val="00606FC5"/>
    <w:rsid w:val="0060736B"/>
    <w:rsid w:val="0060764E"/>
    <w:rsid w:val="006077A8"/>
    <w:rsid w:val="00607EE5"/>
    <w:rsid w:val="00610A87"/>
    <w:rsid w:val="00611BC5"/>
    <w:rsid w:val="00611FD8"/>
    <w:rsid w:val="0061231F"/>
    <w:rsid w:val="006127CA"/>
    <w:rsid w:val="00612F14"/>
    <w:rsid w:val="00614A73"/>
    <w:rsid w:val="00614E59"/>
    <w:rsid w:val="00615DDB"/>
    <w:rsid w:val="006160C9"/>
    <w:rsid w:val="006166BB"/>
    <w:rsid w:val="006208FC"/>
    <w:rsid w:val="006214ED"/>
    <w:rsid w:val="00622911"/>
    <w:rsid w:val="00623656"/>
    <w:rsid w:val="00623A37"/>
    <w:rsid w:val="0062425C"/>
    <w:rsid w:val="00624603"/>
    <w:rsid w:val="00625CDA"/>
    <w:rsid w:val="00626A7D"/>
    <w:rsid w:val="00631044"/>
    <w:rsid w:val="00632005"/>
    <w:rsid w:val="006321B0"/>
    <w:rsid w:val="006333AD"/>
    <w:rsid w:val="0063359E"/>
    <w:rsid w:val="006337FB"/>
    <w:rsid w:val="00634D62"/>
    <w:rsid w:val="00636CD4"/>
    <w:rsid w:val="00637DED"/>
    <w:rsid w:val="0064119A"/>
    <w:rsid w:val="006420CC"/>
    <w:rsid w:val="006425EE"/>
    <w:rsid w:val="00642BB6"/>
    <w:rsid w:val="006430E3"/>
    <w:rsid w:val="00644041"/>
    <w:rsid w:val="0064442B"/>
    <w:rsid w:val="006445D0"/>
    <w:rsid w:val="006447DD"/>
    <w:rsid w:val="00644927"/>
    <w:rsid w:val="00646EE3"/>
    <w:rsid w:val="006470BA"/>
    <w:rsid w:val="006474AD"/>
    <w:rsid w:val="00651689"/>
    <w:rsid w:val="00651A10"/>
    <w:rsid w:val="00651CE8"/>
    <w:rsid w:val="00652A6F"/>
    <w:rsid w:val="00653CD4"/>
    <w:rsid w:val="006542B6"/>
    <w:rsid w:val="00654C27"/>
    <w:rsid w:val="00654F00"/>
    <w:rsid w:val="00655000"/>
    <w:rsid w:val="006566E6"/>
    <w:rsid w:val="00657E01"/>
    <w:rsid w:val="006611A4"/>
    <w:rsid w:val="006611E1"/>
    <w:rsid w:val="00661F85"/>
    <w:rsid w:val="00662538"/>
    <w:rsid w:val="006625C8"/>
    <w:rsid w:val="00662BB7"/>
    <w:rsid w:val="006633A0"/>
    <w:rsid w:val="00664444"/>
    <w:rsid w:val="006649AD"/>
    <w:rsid w:val="00665AD4"/>
    <w:rsid w:val="00665E1B"/>
    <w:rsid w:val="00665F26"/>
    <w:rsid w:val="00666611"/>
    <w:rsid w:val="0066688B"/>
    <w:rsid w:val="00666D18"/>
    <w:rsid w:val="00667F33"/>
    <w:rsid w:val="00671DA9"/>
    <w:rsid w:val="00673658"/>
    <w:rsid w:val="00673D80"/>
    <w:rsid w:val="00674177"/>
    <w:rsid w:val="006758E3"/>
    <w:rsid w:val="00676222"/>
    <w:rsid w:val="00680886"/>
    <w:rsid w:val="006820FA"/>
    <w:rsid w:val="00682D55"/>
    <w:rsid w:val="00686EF8"/>
    <w:rsid w:val="006874A3"/>
    <w:rsid w:val="00687B29"/>
    <w:rsid w:val="00687B78"/>
    <w:rsid w:val="00690218"/>
    <w:rsid w:val="00691384"/>
    <w:rsid w:val="00694383"/>
    <w:rsid w:val="00696490"/>
    <w:rsid w:val="00696C5D"/>
    <w:rsid w:val="006A0FFA"/>
    <w:rsid w:val="006A177C"/>
    <w:rsid w:val="006A2A4D"/>
    <w:rsid w:val="006A4AAB"/>
    <w:rsid w:val="006A4B2F"/>
    <w:rsid w:val="006A4FD3"/>
    <w:rsid w:val="006A509E"/>
    <w:rsid w:val="006A5EEB"/>
    <w:rsid w:val="006A659E"/>
    <w:rsid w:val="006A7C43"/>
    <w:rsid w:val="006B036D"/>
    <w:rsid w:val="006B2E2D"/>
    <w:rsid w:val="006B37EA"/>
    <w:rsid w:val="006B38AC"/>
    <w:rsid w:val="006B65CA"/>
    <w:rsid w:val="006B7387"/>
    <w:rsid w:val="006C0BBC"/>
    <w:rsid w:val="006C0E8E"/>
    <w:rsid w:val="006C1EF9"/>
    <w:rsid w:val="006C2D95"/>
    <w:rsid w:val="006C34C5"/>
    <w:rsid w:val="006C350D"/>
    <w:rsid w:val="006C39B7"/>
    <w:rsid w:val="006C4179"/>
    <w:rsid w:val="006C69AD"/>
    <w:rsid w:val="006C7F56"/>
    <w:rsid w:val="006D2D8E"/>
    <w:rsid w:val="006D2FAE"/>
    <w:rsid w:val="006D3C6B"/>
    <w:rsid w:val="006D5814"/>
    <w:rsid w:val="006D5975"/>
    <w:rsid w:val="006D6566"/>
    <w:rsid w:val="006D7815"/>
    <w:rsid w:val="006E022F"/>
    <w:rsid w:val="006E0FBB"/>
    <w:rsid w:val="006E257A"/>
    <w:rsid w:val="006E2840"/>
    <w:rsid w:val="006E3D6E"/>
    <w:rsid w:val="006E605C"/>
    <w:rsid w:val="006E605E"/>
    <w:rsid w:val="006E7027"/>
    <w:rsid w:val="006E7340"/>
    <w:rsid w:val="006E7870"/>
    <w:rsid w:val="006F0AC7"/>
    <w:rsid w:val="006F0D23"/>
    <w:rsid w:val="006F1FE2"/>
    <w:rsid w:val="006F35DB"/>
    <w:rsid w:val="006F3D25"/>
    <w:rsid w:val="006F4111"/>
    <w:rsid w:val="006F42C4"/>
    <w:rsid w:val="006F466E"/>
    <w:rsid w:val="006F4D54"/>
    <w:rsid w:val="006F5F5A"/>
    <w:rsid w:val="006F7306"/>
    <w:rsid w:val="007015D5"/>
    <w:rsid w:val="00701C35"/>
    <w:rsid w:val="0070376C"/>
    <w:rsid w:val="00703EAE"/>
    <w:rsid w:val="00704B92"/>
    <w:rsid w:val="00710006"/>
    <w:rsid w:val="00710B49"/>
    <w:rsid w:val="00711C4F"/>
    <w:rsid w:val="00712978"/>
    <w:rsid w:val="007130A0"/>
    <w:rsid w:val="007144FF"/>
    <w:rsid w:val="00714FDB"/>
    <w:rsid w:val="0071549A"/>
    <w:rsid w:val="00717059"/>
    <w:rsid w:val="00717D92"/>
    <w:rsid w:val="00717E59"/>
    <w:rsid w:val="0072277B"/>
    <w:rsid w:val="007228D6"/>
    <w:rsid w:val="00723251"/>
    <w:rsid w:val="007242FC"/>
    <w:rsid w:val="007276D0"/>
    <w:rsid w:val="00730342"/>
    <w:rsid w:val="0073043E"/>
    <w:rsid w:val="00732FA8"/>
    <w:rsid w:val="007365A9"/>
    <w:rsid w:val="00737F8B"/>
    <w:rsid w:val="00740526"/>
    <w:rsid w:val="00740F61"/>
    <w:rsid w:val="0074414C"/>
    <w:rsid w:val="007441BE"/>
    <w:rsid w:val="00744ECD"/>
    <w:rsid w:val="00745B30"/>
    <w:rsid w:val="00745D4F"/>
    <w:rsid w:val="0074629F"/>
    <w:rsid w:val="007504DC"/>
    <w:rsid w:val="007507C6"/>
    <w:rsid w:val="00754FF9"/>
    <w:rsid w:val="007550DD"/>
    <w:rsid w:val="00755C6B"/>
    <w:rsid w:val="00755F9A"/>
    <w:rsid w:val="007563BE"/>
    <w:rsid w:val="0076040E"/>
    <w:rsid w:val="00761795"/>
    <w:rsid w:val="00761F2F"/>
    <w:rsid w:val="0076441F"/>
    <w:rsid w:val="00765A61"/>
    <w:rsid w:val="00770AE5"/>
    <w:rsid w:val="00774255"/>
    <w:rsid w:val="00774367"/>
    <w:rsid w:val="0077448E"/>
    <w:rsid w:val="007761D3"/>
    <w:rsid w:val="00777F31"/>
    <w:rsid w:val="007813E5"/>
    <w:rsid w:val="00781B03"/>
    <w:rsid w:val="00782D47"/>
    <w:rsid w:val="00783381"/>
    <w:rsid w:val="0078362B"/>
    <w:rsid w:val="00783A46"/>
    <w:rsid w:val="00784B5E"/>
    <w:rsid w:val="00785BF0"/>
    <w:rsid w:val="00790904"/>
    <w:rsid w:val="00791282"/>
    <w:rsid w:val="00791493"/>
    <w:rsid w:val="0079254B"/>
    <w:rsid w:val="00792BD4"/>
    <w:rsid w:val="007954F0"/>
    <w:rsid w:val="00797FC4"/>
    <w:rsid w:val="007A16AC"/>
    <w:rsid w:val="007A2319"/>
    <w:rsid w:val="007A2B99"/>
    <w:rsid w:val="007A34A5"/>
    <w:rsid w:val="007A4154"/>
    <w:rsid w:val="007A4868"/>
    <w:rsid w:val="007A6E00"/>
    <w:rsid w:val="007A6ECC"/>
    <w:rsid w:val="007A75D2"/>
    <w:rsid w:val="007A7A8B"/>
    <w:rsid w:val="007A7E74"/>
    <w:rsid w:val="007B0C0B"/>
    <w:rsid w:val="007B0C5E"/>
    <w:rsid w:val="007B1C96"/>
    <w:rsid w:val="007B5574"/>
    <w:rsid w:val="007B5DF0"/>
    <w:rsid w:val="007B6E00"/>
    <w:rsid w:val="007B75D9"/>
    <w:rsid w:val="007B7F93"/>
    <w:rsid w:val="007C037B"/>
    <w:rsid w:val="007C067B"/>
    <w:rsid w:val="007C0774"/>
    <w:rsid w:val="007C146C"/>
    <w:rsid w:val="007C15ED"/>
    <w:rsid w:val="007C2B9E"/>
    <w:rsid w:val="007C2BEB"/>
    <w:rsid w:val="007C31FA"/>
    <w:rsid w:val="007C3305"/>
    <w:rsid w:val="007C5A18"/>
    <w:rsid w:val="007C5B79"/>
    <w:rsid w:val="007C5DC5"/>
    <w:rsid w:val="007C6C7E"/>
    <w:rsid w:val="007C6EE9"/>
    <w:rsid w:val="007D022C"/>
    <w:rsid w:val="007D1089"/>
    <w:rsid w:val="007D12F6"/>
    <w:rsid w:val="007D15B9"/>
    <w:rsid w:val="007D1680"/>
    <w:rsid w:val="007D16D6"/>
    <w:rsid w:val="007D2A2C"/>
    <w:rsid w:val="007D2C1A"/>
    <w:rsid w:val="007D3977"/>
    <w:rsid w:val="007D39F6"/>
    <w:rsid w:val="007D592F"/>
    <w:rsid w:val="007D5B2C"/>
    <w:rsid w:val="007E0EBD"/>
    <w:rsid w:val="007E244C"/>
    <w:rsid w:val="007E2686"/>
    <w:rsid w:val="007E4CCD"/>
    <w:rsid w:val="007E4DAA"/>
    <w:rsid w:val="007E50D1"/>
    <w:rsid w:val="007E62CB"/>
    <w:rsid w:val="007E66B7"/>
    <w:rsid w:val="007E6867"/>
    <w:rsid w:val="007E72C3"/>
    <w:rsid w:val="007E7FD4"/>
    <w:rsid w:val="007F10FC"/>
    <w:rsid w:val="007F1491"/>
    <w:rsid w:val="007F2607"/>
    <w:rsid w:val="007F294D"/>
    <w:rsid w:val="007F364A"/>
    <w:rsid w:val="007F4ADF"/>
    <w:rsid w:val="007F60A7"/>
    <w:rsid w:val="00800F82"/>
    <w:rsid w:val="00801581"/>
    <w:rsid w:val="00801B6A"/>
    <w:rsid w:val="00803212"/>
    <w:rsid w:val="00803F50"/>
    <w:rsid w:val="00804440"/>
    <w:rsid w:val="00806785"/>
    <w:rsid w:val="00811AD5"/>
    <w:rsid w:val="00811D3B"/>
    <w:rsid w:val="00812FC6"/>
    <w:rsid w:val="00813316"/>
    <w:rsid w:val="00813A03"/>
    <w:rsid w:val="008143A7"/>
    <w:rsid w:val="00814DBA"/>
    <w:rsid w:val="008157C8"/>
    <w:rsid w:val="008163A6"/>
    <w:rsid w:val="008168AC"/>
    <w:rsid w:val="008179EF"/>
    <w:rsid w:val="00824096"/>
    <w:rsid w:val="008256A9"/>
    <w:rsid w:val="0082665E"/>
    <w:rsid w:val="0082739E"/>
    <w:rsid w:val="00827947"/>
    <w:rsid w:val="00827B9E"/>
    <w:rsid w:val="00831A4B"/>
    <w:rsid w:val="0083222C"/>
    <w:rsid w:val="0083341D"/>
    <w:rsid w:val="00834098"/>
    <w:rsid w:val="00834E43"/>
    <w:rsid w:val="00837B09"/>
    <w:rsid w:val="008410E0"/>
    <w:rsid w:val="00841FAB"/>
    <w:rsid w:val="00844EAD"/>
    <w:rsid w:val="00845D79"/>
    <w:rsid w:val="00847913"/>
    <w:rsid w:val="00850678"/>
    <w:rsid w:val="0085091F"/>
    <w:rsid w:val="00851DC4"/>
    <w:rsid w:val="00853189"/>
    <w:rsid w:val="00854803"/>
    <w:rsid w:val="008554FA"/>
    <w:rsid w:val="008556FD"/>
    <w:rsid w:val="00855CCA"/>
    <w:rsid w:val="00855D11"/>
    <w:rsid w:val="00860369"/>
    <w:rsid w:val="00861820"/>
    <w:rsid w:val="008622A7"/>
    <w:rsid w:val="00864045"/>
    <w:rsid w:val="0086460C"/>
    <w:rsid w:val="00864F11"/>
    <w:rsid w:val="00865E05"/>
    <w:rsid w:val="00867166"/>
    <w:rsid w:val="00871884"/>
    <w:rsid w:val="00872C03"/>
    <w:rsid w:val="00873224"/>
    <w:rsid w:val="0087492D"/>
    <w:rsid w:val="00874DC9"/>
    <w:rsid w:val="008767B6"/>
    <w:rsid w:val="00876E2E"/>
    <w:rsid w:val="008779DB"/>
    <w:rsid w:val="00877BF7"/>
    <w:rsid w:val="00877ECB"/>
    <w:rsid w:val="008805D9"/>
    <w:rsid w:val="00880694"/>
    <w:rsid w:val="008812A2"/>
    <w:rsid w:val="00881FB4"/>
    <w:rsid w:val="00882ED2"/>
    <w:rsid w:val="00882EDE"/>
    <w:rsid w:val="00883944"/>
    <w:rsid w:val="00884713"/>
    <w:rsid w:val="00886164"/>
    <w:rsid w:val="00890F39"/>
    <w:rsid w:val="008915DB"/>
    <w:rsid w:val="008922F3"/>
    <w:rsid w:val="008924BC"/>
    <w:rsid w:val="00892A11"/>
    <w:rsid w:val="00892E25"/>
    <w:rsid w:val="00892FD0"/>
    <w:rsid w:val="00895E62"/>
    <w:rsid w:val="008960EC"/>
    <w:rsid w:val="00896BFF"/>
    <w:rsid w:val="0089783A"/>
    <w:rsid w:val="00897E8A"/>
    <w:rsid w:val="008A0438"/>
    <w:rsid w:val="008A08FF"/>
    <w:rsid w:val="008A1D76"/>
    <w:rsid w:val="008A2B49"/>
    <w:rsid w:val="008A35D3"/>
    <w:rsid w:val="008A36CF"/>
    <w:rsid w:val="008A4E59"/>
    <w:rsid w:val="008A6C80"/>
    <w:rsid w:val="008A79B4"/>
    <w:rsid w:val="008B2B8D"/>
    <w:rsid w:val="008B383C"/>
    <w:rsid w:val="008B403D"/>
    <w:rsid w:val="008B41B0"/>
    <w:rsid w:val="008B4570"/>
    <w:rsid w:val="008B516C"/>
    <w:rsid w:val="008C0030"/>
    <w:rsid w:val="008C0549"/>
    <w:rsid w:val="008C1053"/>
    <w:rsid w:val="008C113D"/>
    <w:rsid w:val="008C1C82"/>
    <w:rsid w:val="008C2842"/>
    <w:rsid w:val="008C2CF3"/>
    <w:rsid w:val="008C3AF3"/>
    <w:rsid w:val="008C477A"/>
    <w:rsid w:val="008C533B"/>
    <w:rsid w:val="008C59AB"/>
    <w:rsid w:val="008C6C48"/>
    <w:rsid w:val="008D0696"/>
    <w:rsid w:val="008D2DD0"/>
    <w:rsid w:val="008D383D"/>
    <w:rsid w:val="008E05E6"/>
    <w:rsid w:val="008E1095"/>
    <w:rsid w:val="008E17B1"/>
    <w:rsid w:val="008E199B"/>
    <w:rsid w:val="008E28E7"/>
    <w:rsid w:val="008E4B2F"/>
    <w:rsid w:val="008E6B65"/>
    <w:rsid w:val="008F13BF"/>
    <w:rsid w:val="008F271D"/>
    <w:rsid w:val="008F2981"/>
    <w:rsid w:val="008F2D75"/>
    <w:rsid w:val="008F36D4"/>
    <w:rsid w:val="008F4047"/>
    <w:rsid w:val="008F43B2"/>
    <w:rsid w:val="008F4471"/>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81B"/>
    <w:rsid w:val="009179A0"/>
    <w:rsid w:val="009201FC"/>
    <w:rsid w:val="009202E6"/>
    <w:rsid w:val="009230DF"/>
    <w:rsid w:val="00924E4A"/>
    <w:rsid w:val="0092512C"/>
    <w:rsid w:val="00925E2F"/>
    <w:rsid w:val="00927EFA"/>
    <w:rsid w:val="009308CC"/>
    <w:rsid w:val="00930A24"/>
    <w:rsid w:val="00930DCF"/>
    <w:rsid w:val="00932EB0"/>
    <w:rsid w:val="0093409D"/>
    <w:rsid w:val="00934161"/>
    <w:rsid w:val="00935122"/>
    <w:rsid w:val="0093563A"/>
    <w:rsid w:val="00935E1E"/>
    <w:rsid w:val="00936FF1"/>
    <w:rsid w:val="009378A5"/>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18EC"/>
    <w:rsid w:val="00952089"/>
    <w:rsid w:val="009529CA"/>
    <w:rsid w:val="00952A89"/>
    <w:rsid w:val="0095359D"/>
    <w:rsid w:val="0095611C"/>
    <w:rsid w:val="00957015"/>
    <w:rsid w:val="00963C32"/>
    <w:rsid w:val="00964847"/>
    <w:rsid w:val="00965D52"/>
    <w:rsid w:val="00967647"/>
    <w:rsid w:val="00967C64"/>
    <w:rsid w:val="0097204F"/>
    <w:rsid w:val="0097330F"/>
    <w:rsid w:val="009734A8"/>
    <w:rsid w:val="009746DA"/>
    <w:rsid w:val="00980CEA"/>
    <w:rsid w:val="00982282"/>
    <w:rsid w:val="0098240F"/>
    <w:rsid w:val="0098367D"/>
    <w:rsid w:val="009846B9"/>
    <w:rsid w:val="009859DB"/>
    <w:rsid w:val="00986067"/>
    <w:rsid w:val="0098722E"/>
    <w:rsid w:val="009872F8"/>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A5CE0"/>
    <w:rsid w:val="009A7648"/>
    <w:rsid w:val="009B363C"/>
    <w:rsid w:val="009B591E"/>
    <w:rsid w:val="009B6DEC"/>
    <w:rsid w:val="009B7B6B"/>
    <w:rsid w:val="009B7C6B"/>
    <w:rsid w:val="009C5C77"/>
    <w:rsid w:val="009C6EF8"/>
    <w:rsid w:val="009C7055"/>
    <w:rsid w:val="009C7B10"/>
    <w:rsid w:val="009D02EB"/>
    <w:rsid w:val="009D0732"/>
    <w:rsid w:val="009D0D40"/>
    <w:rsid w:val="009D19BD"/>
    <w:rsid w:val="009D2F83"/>
    <w:rsid w:val="009D35C3"/>
    <w:rsid w:val="009D392E"/>
    <w:rsid w:val="009D552D"/>
    <w:rsid w:val="009D65C7"/>
    <w:rsid w:val="009E06CC"/>
    <w:rsid w:val="009E0835"/>
    <w:rsid w:val="009E0DB8"/>
    <w:rsid w:val="009E1BD8"/>
    <w:rsid w:val="009E4978"/>
    <w:rsid w:val="009E4ECE"/>
    <w:rsid w:val="009E7F78"/>
    <w:rsid w:val="009F00D3"/>
    <w:rsid w:val="009F10AB"/>
    <w:rsid w:val="009F1F79"/>
    <w:rsid w:val="009F791D"/>
    <w:rsid w:val="009F7ACB"/>
    <w:rsid w:val="00A01975"/>
    <w:rsid w:val="00A0352C"/>
    <w:rsid w:val="00A0371E"/>
    <w:rsid w:val="00A03722"/>
    <w:rsid w:val="00A03E49"/>
    <w:rsid w:val="00A0472F"/>
    <w:rsid w:val="00A048A9"/>
    <w:rsid w:val="00A048D5"/>
    <w:rsid w:val="00A04C9F"/>
    <w:rsid w:val="00A05457"/>
    <w:rsid w:val="00A05478"/>
    <w:rsid w:val="00A05B7F"/>
    <w:rsid w:val="00A06CDD"/>
    <w:rsid w:val="00A07231"/>
    <w:rsid w:val="00A109FE"/>
    <w:rsid w:val="00A11E4C"/>
    <w:rsid w:val="00A12A77"/>
    <w:rsid w:val="00A13225"/>
    <w:rsid w:val="00A14800"/>
    <w:rsid w:val="00A15DBC"/>
    <w:rsid w:val="00A16E65"/>
    <w:rsid w:val="00A175B6"/>
    <w:rsid w:val="00A20395"/>
    <w:rsid w:val="00A22874"/>
    <w:rsid w:val="00A2397B"/>
    <w:rsid w:val="00A23C43"/>
    <w:rsid w:val="00A23C84"/>
    <w:rsid w:val="00A2521E"/>
    <w:rsid w:val="00A256F6"/>
    <w:rsid w:val="00A27F9E"/>
    <w:rsid w:val="00A30289"/>
    <w:rsid w:val="00A319A1"/>
    <w:rsid w:val="00A31A26"/>
    <w:rsid w:val="00A31AA6"/>
    <w:rsid w:val="00A31B41"/>
    <w:rsid w:val="00A31CF4"/>
    <w:rsid w:val="00A326BC"/>
    <w:rsid w:val="00A333D2"/>
    <w:rsid w:val="00A34166"/>
    <w:rsid w:val="00A34E6B"/>
    <w:rsid w:val="00A35EC2"/>
    <w:rsid w:val="00A36303"/>
    <w:rsid w:val="00A37046"/>
    <w:rsid w:val="00A41C97"/>
    <w:rsid w:val="00A42B4E"/>
    <w:rsid w:val="00A43924"/>
    <w:rsid w:val="00A45083"/>
    <w:rsid w:val="00A454A6"/>
    <w:rsid w:val="00A456E4"/>
    <w:rsid w:val="00A45DEF"/>
    <w:rsid w:val="00A46EF4"/>
    <w:rsid w:val="00A47184"/>
    <w:rsid w:val="00A472AF"/>
    <w:rsid w:val="00A4778A"/>
    <w:rsid w:val="00A47ECD"/>
    <w:rsid w:val="00A500A7"/>
    <w:rsid w:val="00A517CC"/>
    <w:rsid w:val="00A54075"/>
    <w:rsid w:val="00A5423C"/>
    <w:rsid w:val="00A545C7"/>
    <w:rsid w:val="00A5486B"/>
    <w:rsid w:val="00A55155"/>
    <w:rsid w:val="00A55468"/>
    <w:rsid w:val="00A55B15"/>
    <w:rsid w:val="00A56E88"/>
    <w:rsid w:val="00A5712C"/>
    <w:rsid w:val="00A601B3"/>
    <w:rsid w:val="00A603F2"/>
    <w:rsid w:val="00A607D0"/>
    <w:rsid w:val="00A61601"/>
    <w:rsid w:val="00A6196A"/>
    <w:rsid w:val="00A637FE"/>
    <w:rsid w:val="00A639ED"/>
    <w:rsid w:val="00A63DCA"/>
    <w:rsid w:val="00A6423D"/>
    <w:rsid w:val="00A6569E"/>
    <w:rsid w:val="00A67C4A"/>
    <w:rsid w:val="00A703A8"/>
    <w:rsid w:val="00A70D89"/>
    <w:rsid w:val="00A7163F"/>
    <w:rsid w:val="00A727C2"/>
    <w:rsid w:val="00A762F3"/>
    <w:rsid w:val="00A76FDC"/>
    <w:rsid w:val="00A77ABF"/>
    <w:rsid w:val="00A77B4C"/>
    <w:rsid w:val="00A812D6"/>
    <w:rsid w:val="00A81BB7"/>
    <w:rsid w:val="00A856AF"/>
    <w:rsid w:val="00A86E5C"/>
    <w:rsid w:val="00A9094E"/>
    <w:rsid w:val="00A92C1F"/>
    <w:rsid w:val="00A934F1"/>
    <w:rsid w:val="00A9368C"/>
    <w:rsid w:val="00A948F9"/>
    <w:rsid w:val="00A95DDE"/>
    <w:rsid w:val="00A964FC"/>
    <w:rsid w:val="00AA155D"/>
    <w:rsid w:val="00AA4538"/>
    <w:rsid w:val="00AA4E48"/>
    <w:rsid w:val="00AA52D8"/>
    <w:rsid w:val="00AA569B"/>
    <w:rsid w:val="00AA6911"/>
    <w:rsid w:val="00AA6BCB"/>
    <w:rsid w:val="00AA6D28"/>
    <w:rsid w:val="00AA7131"/>
    <w:rsid w:val="00AB0674"/>
    <w:rsid w:val="00AB09D4"/>
    <w:rsid w:val="00AB1E10"/>
    <w:rsid w:val="00AB1E6A"/>
    <w:rsid w:val="00AB2A3D"/>
    <w:rsid w:val="00AB3D8E"/>
    <w:rsid w:val="00AB70E8"/>
    <w:rsid w:val="00AB7724"/>
    <w:rsid w:val="00AC0378"/>
    <w:rsid w:val="00AC0431"/>
    <w:rsid w:val="00AC0BC9"/>
    <w:rsid w:val="00AC0C5D"/>
    <w:rsid w:val="00AC1929"/>
    <w:rsid w:val="00AC1A55"/>
    <w:rsid w:val="00AC3BA5"/>
    <w:rsid w:val="00AC3DD4"/>
    <w:rsid w:val="00AC4119"/>
    <w:rsid w:val="00AC596F"/>
    <w:rsid w:val="00AC5D69"/>
    <w:rsid w:val="00AC757B"/>
    <w:rsid w:val="00AC7D84"/>
    <w:rsid w:val="00AD0BB0"/>
    <w:rsid w:val="00AD108C"/>
    <w:rsid w:val="00AD3308"/>
    <w:rsid w:val="00AD3975"/>
    <w:rsid w:val="00AD65C7"/>
    <w:rsid w:val="00AD66C7"/>
    <w:rsid w:val="00AD706B"/>
    <w:rsid w:val="00AD775A"/>
    <w:rsid w:val="00AE01F4"/>
    <w:rsid w:val="00AE0717"/>
    <w:rsid w:val="00AE10D3"/>
    <w:rsid w:val="00AE1419"/>
    <w:rsid w:val="00AE1A9B"/>
    <w:rsid w:val="00AE2673"/>
    <w:rsid w:val="00AE30A5"/>
    <w:rsid w:val="00AE34CD"/>
    <w:rsid w:val="00AE3927"/>
    <w:rsid w:val="00AE3C4D"/>
    <w:rsid w:val="00AE3C8A"/>
    <w:rsid w:val="00AE424A"/>
    <w:rsid w:val="00AE521D"/>
    <w:rsid w:val="00AE5647"/>
    <w:rsid w:val="00AF0900"/>
    <w:rsid w:val="00AF19A5"/>
    <w:rsid w:val="00AF2124"/>
    <w:rsid w:val="00AF222F"/>
    <w:rsid w:val="00AF30C5"/>
    <w:rsid w:val="00AF5068"/>
    <w:rsid w:val="00AF654F"/>
    <w:rsid w:val="00AF7B9F"/>
    <w:rsid w:val="00B01390"/>
    <w:rsid w:val="00B01F39"/>
    <w:rsid w:val="00B049D2"/>
    <w:rsid w:val="00B054EA"/>
    <w:rsid w:val="00B06EF7"/>
    <w:rsid w:val="00B070A1"/>
    <w:rsid w:val="00B072D6"/>
    <w:rsid w:val="00B10647"/>
    <w:rsid w:val="00B1296E"/>
    <w:rsid w:val="00B13CDD"/>
    <w:rsid w:val="00B14188"/>
    <w:rsid w:val="00B14529"/>
    <w:rsid w:val="00B15848"/>
    <w:rsid w:val="00B15FBD"/>
    <w:rsid w:val="00B160AC"/>
    <w:rsid w:val="00B171E1"/>
    <w:rsid w:val="00B1732B"/>
    <w:rsid w:val="00B178F3"/>
    <w:rsid w:val="00B20128"/>
    <w:rsid w:val="00B21267"/>
    <w:rsid w:val="00B224CD"/>
    <w:rsid w:val="00B22CDD"/>
    <w:rsid w:val="00B2503D"/>
    <w:rsid w:val="00B252BA"/>
    <w:rsid w:val="00B2627A"/>
    <w:rsid w:val="00B30045"/>
    <w:rsid w:val="00B30262"/>
    <w:rsid w:val="00B3081C"/>
    <w:rsid w:val="00B31503"/>
    <w:rsid w:val="00B31F8F"/>
    <w:rsid w:val="00B3265D"/>
    <w:rsid w:val="00B338A8"/>
    <w:rsid w:val="00B34FEF"/>
    <w:rsid w:val="00B35823"/>
    <w:rsid w:val="00B37570"/>
    <w:rsid w:val="00B37622"/>
    <w:rsid w:val="00B37D0B"/>
    <w:rsid w:val="00B40B2B"/>
    <w:rsid w:val="00B40EC8"/>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0C12"/>
    <w:rsid w:val="00B712CD"/>
    <w:rsid w:val="00B71F5F"/>
    <w:rsid w:val="00B7254B"/>
    <w:rsid w:val="00B742A9"/>
    <w:rsid w:val="00B747F9"/>
    <w:rsid w:val="00B7571E"/>
    <w:rsid w:val="00B75D74"/>
    <w:rsid w:val="00B76B82"/>
    <w:rsid w:val="00B80181"/>
    <w:rsid w:val="00B82086"/>
    <w:rsid w:val="00B83537"/>
    <w:rsid w:val="00B83956"/>
    <w:rsid w:val="00B843D4"/>
    <w:rsid w:val="00B852D4"/>
    <w:rsid w:val="00B8622E"/>
    <w:rsid w:val="00B86E83"/>
    <w:rsid w:val="00B94A59"/>
    <w:rsid w:val="00B95C44"/>
    <w:rsid w:val="00BA1BE9"/>
    <w:rsid w:val="00BA1D55"/>
    <w:rsid w:val="00BA2280"/>
    <w:rsid w:val="00BA234A"/>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2EF7"/>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4FED"/>
    <w:rsid w:val="00BE5068"/>
    <w:rsid w:val="00BE50AE"/>
    <w:rsid w:val="00BE54CB"/>
    <w:rsid w:val="00BF16AD"/>
    <w:rsid w:val="00BF2E14"/>
    <w:rsid w:val="00BF362A"/>
    <w:rsid w:val="00BF6274"/>
    <w:rsid w:val="00BF66DD"/>
    <w:rsid w:val="00BF75A6"/>
    <w:rsid w:val="00BF7949"/>
    <w:rsid w:val="00C006D8"/>
    <w:rsid w:val="00C01B06"/>
    <w:rsid w:val="00C02BD0"/>
    <w:rsid w:val="00C03579"/>
    <w:rsid w:val="00C04595"/>
    <w:rsid w:val="00C0479F"/>
    <w:rsid w:val="00C04B37"/>
    <w:rsid w:val="00C04BC8"/>
    <w:rsid w:val="00C07591"/>
    <w:rsid w:val="00C10BCC"/>
    <w:rsid w:val="00C10C83"/>
    <w:rsid w:val="00C11377"/>
    <w:rsid w:val="00C12873"/>
    <w:rsid w:val="00C13504"/>
    <w:rsid w:val="00C1482E"/>
    <w:rsid w:val="00C14B36"/>
    <w:rsid w:val="00C14C0C"/>
    <w:rsid w:val="00C150A7"/>
    <w:rsid w:val="00C151C6"/>
    <w:rsid w:val="00C15F78"/>
    <w:rsid w:val="00C16F30"/>
    <w:rsid w:val="00C171E7"/>
    <w:rsid w:val="00C1720C"/>
    <w:rsid w:val="00C20281"/>
    <w:rsid w:val="00C20E46"/>
    <w:rsid w:val="00C23C73"/>
    <w:rsid w:val="00C24EA1"/>
    <w:rsid w:val="00C251CF"/>
    <w:rsid w:val="00C26EFE"/>
    <w:rsid w:val="00C27230"/>
    <w:rsid w:val="00C30735"/>
    <w:rsid w:val="00C31514"/>
    <w:rsid w:val="00C31FF2"/>
    <w:rsid w:val="00C3336A"/>
    <w:rsid w:val="00C351CA"/>
    <w:rsid w:val="00C4294B"/>
    <w:rsid w:val="00C429BA"/>
    <w:rsid w:val="00C4309F"/>
    <w:rsid w:val="00C44A5F"/>
    <w:rsid w:val="00C45160"/>
    <w:rsid w:val="00C45DAB"/>
    <w:rsid w:val="00C4625C"/>
    <w:rsid w:val="00C47423"/>
    <w:rsid w:val="00C514D3"/>
    <w:rsid w:val="00C5211D"/>
    <w:rsid w:val="00C56793"/>
    <w:rsid w:val="00C6191A"/>
    <w:rsid w:val="00C63483"/>
    <w:rsid w:val="00C636F7"/>
    <w:rsid w:val="00C63928"/>
    <w:rsid w:val="00C63AA4"/>
    <w:rsid w:val="00C63B91"/>
    <w:rsid w:val="00C65179"/>
    <w:rsid w:val="00C6566D"/>
    <w:rsid w:val="00C65D45"/>
    <w:rsid w:val="00C66DE4"/>
    <w:rsid w:val="00C70622"/>
    <w:rsid w:val="00C70D2E"/>
    <w:rsid w:val="00C72FB5"/>
    <w:rsid w:val="00C73235"/>
    <w:rsid w:val="00C73631"/>
    <w:rsid w:val="00C73B34"/>
    <w:rsid w:val="00C73EC0"/>
    <w:rsid w:val="00C74066"/>
    <w:rsid w:val="00C74675"/>
    <w:rsid w:val="00C74B08"/>
    <w:rsid w:val="00C765FA"/>
    <w:rsid w:val="00C7663E"/>
    <w:rsid w:val="00C7666B"/>
    <w:rsid w:val="00C76DD3"/>
    <w:rsid w:val="00C77275"/>
    <w:rsid w:val="00C7755B"/>
    <w:rsid w:val="00C7762F"/>
    <w:rsid w:val="00C803C2"/>
    <w:rsid w:val="00C8131B"/>
    <w:rsid w:val="00C8184F"/>
    <w:rsid w:val="00C81CE4"/>
    <w:rsid w:val="00C838F7"/>
    <w:rsid w:val="00C83CD8"/>
    <w:rsid w:val="00C84EB1"/>
    <w:rsid w:val="00C86ABF"/>
    <w:rsid w:val="00C87D61"/>
    <w:rsid w:val="00C90803"/>
    <w:rsid w:val="00C916CD"/>
    <w:rsid w:val="00C9199F"/>
    <w:rsid w:val="00C92A9F"/>
    <w:rsid w:val="00C92B2C"/>
    <w:rsid w:val="00C93262"/>
    <w:rsid w:val="00C93FBC"/>
    <w:rsid w:val="00C943A5"/>
    <w:rsid w:val="00C9627C"/>
    <w:rsid w:val="00C96348"/>
    <w:rsid w:val="00C97146"/>
    <w:rsid w:val="00CA0261"/>
    <w:rsid w:val="00CA06DB"/>
    <w:rsid w:val="00CA0A9A"/>
    <w:rsid w:val="00CA1753"/>
    <w:rsid w:val="00CA3DAA"/>
    <w:rsid w:val="00CA3EC5"/>
    <w:rsid w:val="00CA4153"/>
    <w:rsid w:val="00CA531B"/>
    <w:rsid w:val="00CA55A1"/>
    <w:rsid w:val="00CA5BF9"/>
    <w:rsid w:val="00CA6924"/>
    <w:rsid w:val="00CB1184"/>
    <w:rsid w:val="00CB1476"/>
    <w:rsid w:val="00CB1639"/>
    <w:rsid w:val="00CB1CC9"/>
    <w:rsid w:val="00CB2060"/>
    <w:rsid w:val="00CB25ED"/>
    <w:rsid w:val="00CB4369"/>
    <w:rsid w:val="00CB4511"/>
    <w:rsid w:val="00CB46E5"/>
    <w:rsid w:val="00CB6147"/>
    <w:rsid w:val="00CB6CC0"/>
    <w:rsid w:val="00CB7CEE"/>
    <w:rsid w:val="00CB7FC4"/>
    <w:rsid w:val="00CC103E"/>
    <w:rsid w:val="00CC264D"/>
    <w:rsid w:val="00CC571E"/>
    <w:rsid w:val="00CC5825"/>
    <w:rsid w:val="00CC65C6"/>
    <w:rsid w:val="00CC779E"/>
    <w:rsid w:val="00CD1506"/>
    <w:rsid w:val="00CD1E23"/>
    <w:rsid w:val="00CD3DB8"/>
    <w:rsid w:val="00CD3FFD"/>
    <w:rsid w:val="00CD40E5"/>
    <w:rsid w:val="00CD45F9"/>
    <w:rsid w:val="00CD5406"/>
    <w:rsid w:val="00CD66C7"/>
    <w:rsid w:val="00CD7A66"/>
    <w:rsid w:val="00CE0A4E"/>
    <w:rsid w:val="00CE0A54"/>
    <w:rsid w:val="00CE1226"/>
    <w:rsid w:val="00CE20A7"/>
    <w:rsid w:val="00CE2411"/>
    <w:rsid w:val="00CE2F69"/>
    <w:rsid w:val="00CE438B"/>
    <w:rsid w:val="00CF1C3C"/>
    <w:rsid w:val="00CF2F8F"/>
    <w:rsid w:val="00CF3B2A"/>
    <w:rsid w:val="00CF46CA"/>
    <w:rsid w:val="00CF4A25"/>
    <w:rsid w:val="00CF60A7"/>
    <w:rsid w:val="00D001BC"/>
    <w:rsid w:val="00D005BF"/>
    <w:rsid w:val="00D010FB"/>
    <w:rsid w:val="00D0250D"/>
    <w:rsid w:val="00D02BE6"/>
    <w:rsid w:val="00D0339C"/>
    <w:rsid w:val="00D07EDF"/>
    <w:rsid w:val="00D108A5"/>
    <w:rsid w:val="00D10DA0"/>
    <w:rsid w:val="00D1130E"/>
    <w:rsid w:val="00D122F2"/>
    <w:rsid w:val="00D13C6F"/>
    <w:rsid w:val="00D142BA"/>
    <w:rsid w:val="00D14E39"/>
    <w:rsid w:val="00D17546"/>
    <w:rsid w:val="00D20514"/>
    <w:rsid w:val="00D21220"/>
    <w:rsid w:val="00D21BC8"/>
    <w:rsid w:val="00D22A77"/>
    <w:rsid w:val="00D23936"/>
    <w:rsid w:val="00D256AA"/>
    <w:rsid w:val="00D26DDD"/>
    <w:rsid w:val="00D308B6"/>
    <w:rsid w:val="00D30982"/>
    <w:rsid w:val="00D3149A"/>
    <w:rsid w:val="00D31765"/>
    <w:rsid w:val="00D31A05"/>
    <w:rsid w:val="00D31C0C"/>
    <w:rsid w:val="00D3423A"/>
    <w:rsid w:val="00D343CC"/>
    <w:rsid w:val="00D3506A"/>
    <w:rsid w:val="00D35CA2"/>
    <w:rsid w:val="00D371DD"/>
    <w:rsid w:val="00D3754D"/>
    <w:rsid w:val="00D3798A"/>
    <w:rsid w:val="00D4018E"/>
    <w:rsid w:val="00D40251"/>
    <w:rsid w:val="00D407A7"/>
    <w:rsid w:val="00D409B0"/>
    <w:rsid w:val="00D4148A"/>
    <w:rsid w:val="00D41D81"/>
    <w:rsid w:val="00D422B3"/>
    <w:rsid w:val="00D42A06"/>
    <w:rsid w:val="00D438F2"/>
    <w:rsid w:val="00D43942"/>
    <w:rsid w:val="00D46055"/>
    <w:rsid w:val="00D461C3"/>
    <w:rsid w:val="00D46AB1"/>
    <w:rsid w:val="00D47026"/>
    <w:rsid w:val="00D4767D"/>
    <w:rsid w:val="00D5015D"/>
    <w:rsid w:val="00D50BFD"/>
    <w:rsid w:val="00D51775"/>
    <w:rsid w:val="00D51EE4"/>
    <w:rsid w:val="00D52E80"/>
    <w:rsid w:val="00D5313F"/>
    <w:rsid w:val="00D53B7B"/>
    <w:rsid w:val="00D54C71"/>
    <w:rsid w:val="00D55F5E"/>
    <w:rsid w:val="00D56A4B"/>
    <w:rsid w:val="00D571CA"/>
    <w:rsid w:val="00D57E1C"/>
    <w:rsid w:val="00D57E6B"/>
    <w:rsid w:val="00D60D94"/>
    <w:rsid w:val="00D61972"/>
    <w:rsid w:val="00D64684"/>
    <w:rsid w:val="00D65869"/>
    <w:rsid w:val="00D66527"/>
    <w:rsid w:val="00D66FEF"/>
    <w:rsid w:val="00D67E0C"/>
    <w:rsid w:val="00D7007A"/>
    <w:rsid w:val="00D71840"/>
    <w:rsid w:val="00D71E73"/>
    <w:rsid w:val="00D72E2F"/>
    <w:rsid w:val="00D73EDF"/>
    <w:rsid w:val="00D74897"/>
    <w:rsid w:val="00D755F0"/>
    <w:rsid w:val="00D75718"/>
    <w:rsid w:val="00D75EDB"/>
    <w:rsid w:val="00D767B5"/>
    <w:rsid w:val="00D80105"/>
    <w:rsid w:val="00D810B8"/>
    <w:rsid w:val="00D816A1"/>
    <w:rsid w:val="00D819CF"/>
    <w:rsid w:val="00D8316A"/>
    <w:rsid w:val="00D84645"/>
    <w:rsid w:val="00D84FCD"/>
    <w:rsid w:val="00D86832"/>
    <w:rsid w:val="00D90374"/>
    <w:rsid w:val="00D91F63"/>
    <w:rsid w:val="00D920BD"/>
    <w:rsid w:val="00D9287F"/>
    <w:rsid w:val="00D930AE"/>
    <w:rsid w:val="00D939F3"/>
    <w:rsid w:val="00D9545F"/>
    <w:rsid w:val="00D95595"/>
    <w:rsid w:val="00D9707E"/>
    <w:rsid w:val="00D9786F"/>
    <w:rsid w:val="00DA0C4C"/>
    <w:rsid w:val="00DA1022"/>
    <w:rsid w:val="00DA2B41"/>
    <w:rsid w:val="00DA3928"/>
    <w:rsid w:val="00DA3DE4"/>
    <w:rsid w:val="00DA407D"/>
    <w:rsid w:val="00DA5389"/>
    <w:rsid w:val="00DA678D"/>
    <w:rsid w:val="00DB17EB"/>
    <w:rsid w:val="00DB1CF8"/>
    <w:rsid w:val="00DB28EB"/>
    <w:rsid w:val="00DB37A5"/>
    <w:rsid w:val="00DB429E"/>
    <w:rsid w:val="00DB5D6B"/>
    <w:rsid w:val="00DB6C7B"/>
    <w:rsid w:val="00DB7B64"/>
    <w:rsid w:val="00DC0EF8"/>
    <w:rsid w:val="00DC0F6D"/>
    <w:rsid w:val="00DC1BCC"/>
    <w:rsid w:val="00DC2E5F"/>
    <w:rsid w:val="00DC4597"/>
    <w:rsid w:val="00DC49E8"/>
    <w:rsid w:val="00DC5C0A"/>
    <w:rsid w:val="00DC5DB9"/>
    <w:rsid w:val="00DD03C2"/>
    <w:rsid w:val="00DD0539"/>
    <w:rsid w:val="00DD0E59"/>
    <w:rsid w:val="00DD24C9"/>
    <w:rsid w:val="00DD32DA"/>
    <w:rsid w:val="00DD3637"/>
    <w:rsid w:val="00DD4A91"/>
    <w:rsid w:val="00DD4FEA"/>
    <w:rsid w:val="00DD5BD4"/>
    <w:rsid w:val="00DE0499"/>
    <w:rsid w:val="00DE1D2E"/>
    <w:rsid w:val="00DE2A1D"/>
    <w:rsid w:val="00DE3B21"/>
    <w:rsid w:val="00DE7AF6"/>
    <w:rsid w:val="00DF045F"/>
    <w:rsid w:val="00DF1986"/>
    <w:rsid w:val="00DF19B7"/>
    <w:rsid w:val="00DF32CD"/>
    <w:rsid w:val="00DF387E"/>
    <w:rsid w:val="00DF4B66"/>
    <w:rsid w:val="00E01F2D"/>
    <w:rsid w:val="00E02270"/>
    <w:rsid w:val="00E04B7F"/>
    <w:rsid w:val="00E04F51"/>
    <w:rsid w:val="00E070E9"/>
    <w:rsid w:val="00E078A0"/>
    <w:rsid w:val="00E1057C"/>
    <w:rsid w:val="00E107D7"/>
    <w:rsid w:val="00E10DA6"/>
    <w:rsid w:val="00E11E53"/>
    <w:rsid w:val="00E12A52"/>
    <w:rsid w:val="00E131F3"/>
    <w:rsid w:val="00E1435B"/>
    <w:rsid w:val="00E15188"/>
    <w:rsid w:val="00E154F9"/>
    <w:rsid w:val="00E24D03"/>
    <w:rsid w:val="00E25163"/>
    <w:rsid w:val="00E25E7B"/>
    <w:rsid w:val="00E26BA4"/>
    <w:rsid w:val="00E3007A"/>
    <w:rsid w:val="00E313DB"/>
    <w:rsid w:val="00E32901"/>
    <w:rsid w:val="00E335A0"/>
    <w:rsid w:val="00E35EA5"/>
    <w:rsid w:val="00E413E0"/>
    <w:rsid w:val="00E42314"/>
    <w:rsid w:val="00E42652"/>
    <w:rsid w:val="00E437E2"/>
    <w:rsid w:val="00E442B7"/>
    <w:rsid w:val="00E446A7"/>
    <w:rsid w:val="00E450B1"/>
    <w:rsid w:val="00E45819"/>
    <w:rsid w:val="00E505B0"/>
    <w:rsid w:val="00E50B5C"/>
    <w:rsid w:val="00E51323"/>
    <w:rsid w:val="00E530C2"/>
    <w:rsid w:val="00E5326B"/>
    <w:rsid w:val="00E54FF2"/>
    <w:rsid w:val="00E55651"/>
    <w:rsid w:val="00E566BA"/>
    <w:rsid w:val="00E5675C"/>
    <w:rsid w:val="00E57157"/>
    <w:rsid w:val="00E57683"/>
    <w:rsid w:val="00E57BFD"/>
    <w:rsid w:val="00E625C2"/>
    <w:rsid w:val="00E62C37"/>
    <w:rsid w:val="00E62C4F"/>
    <w:rsid w:val="00E63065"/>
    <w:rsid w:val="00E63179"/>
    <w:rsid w:val="00E63190"/>
    <w:rsid w:val="00E63BDE"/>
    <w:rsid w:val="00E63DBC"/>
    <w:rsid w:val="00E6514A"/>
    <w:rsid w:val="00E66225"/>
    <w:rsid w:val="00E66595"/>
    <w:rsid w:val="00E7072C"/>
    <w:rsid w:val="00E70774"/>
    <w:rsid w:val="00E7212E"/>
    <w:rsid w:val="00E7256B"/>
    <w:rsid w:val="00E725B9"/>
    <w:rsid w:val="00E73D2A"/>
    <w:rsid w:val="00E75AF6"/>
    <w:rsid w:val="00E75CFA"/>
    <w:rsid w:val="00E80B1E"/>
    <w:rsid w:val="00E80B3A"/>
    <w:rsid w:val="00E81C08"/>
    <w:rsid w:val="00E82307"/>
    <w:rsid w:val="00E83178"/>
    <w:rsid w:val="00E85723"/>
    <w:rsid w:val="00E85EDB"/>
    <w:rsid w:val="00E90D7A"/>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09A"/>
    <w:rsid w:val="00EA76B0"/>
    <w:rsid w:val="00EB0A51"/>
    <w:rsid w:val="00EB1A64"/>
    <w:rsid w:val="00EB2347"/>
    <w:rsid w:val="00EB2FBC"/>
    <w:rsid w:val="00EB3C14"/>
    <w:rsid w:val="00EB44C5"/>
    <w:rsid w:val="00EB450C"/>
    <w:rsid w:val="00EB51A0"/>
    <w:rsid w:val="00EB594A"/>
    <w:rsid w:val="00EB65BB"/>
    <w:rsid w:val="00EB7D11"/>
    <w:rsid w:val="00EB7E2B"/>
    <w:rsid w:val="00EC1823"/>
    <w:rsid w:val="00EC1E39"/>
    <w:rsid w:val="00EC2636"/>
    <w:rsid w:val="00EC2699"/>
    <w:rsid w:val="00EC2D9E"/>
    <w:rsid w:val="00EC3B7D"/>
    <w:rsid w:val="00EC4CAB"/>
    <w:rsid w:val="00EC56C9"/>
    <w:rsid w:val="00EC5870"/>
    <w:rsid w:val="00EC5B89"/>
    <w:rsid w:val="00EC64CE"/>
    <w:rsid w:val="00EC66C3"/>
    <w:rsid w:val="00EC6758"/>
    <w:rsid w:val="00EC684D"/>
    <w:rsid w:val="00EC6ED1"/>
    <w:rsid w:val="00EC71CC"/>
    <w:rsid w:val="00EC74C5"/>
    <w:rsid w:val="00ED19A9"/>
    <w:rsid w:val="00ED25A2"/>
    <w:rsid w:val="00ED292B"/>
    <w:rsid w:val="00ED3184"/>
    <w:rsid w:val="00ED31EF"/>
    <w:rsid w:val="00ED3D7E"/>
    <w:rsid w:val="00ED452B"/>
    <w:rsid w:val="00ED506C"/>
    <w:rsid w:val="00ED782B"/>
    <w:rsid w:val="00ED78E3"/>
    <w:rsid w:val="00EE287D"/>
    <w:rsid w:val="00EE2BA4"/>
    <w:rsid w:val="00EE39A6"/>
    <w:rsid w:val="00EE49D1"/>
    <w:rsid w:val="00EE4FAE"/>
    <w:rsid w:val="00EE4FFE"/>
    <w:rsid w:val="00EE53F0"/>
    <w:rsid w:val="00EE5655"/>
    <w:rsid w:val="00EE75B8"/>
    <w:rsid w:val="00EF01C9"/>
    <w:rsid w:val="00EF1BF6"/>
    <w:rsid w:val="00EF367C"/>
    <w:rsid w:val="00EF4733"/>
    <w:rsid w:val="00EF6C4B"/>
    <w:rsid w:val="00EF7935"/>
    <w:rsid w:val="00F015CC"/>
    <w:rsid w:val="00F0545A"/>
    <w:rsid w:val="00F06AD4"/>
    <w:rsid w:val="00F10BB9"/>
    <w:rsid w:val="00F11A21"/>
    <w:rsid w:val="00F12739"/>
    <w:rsid w:val="00F12F6B"/>
    <w:rsid w:val="00F14518"/>
    <w:rsid w:val="00F14D1F"/>
    <w:rsid w:val="00F1624F"/>
    <w:rsid w:val="00F16B01"/>
    <w:rsid w:val="00F17236"/>
    <w:rsid w:val="00F174DB"/>
    <w:rsid w:val="00F176E6"/>
    <w:rsid w:val="00F177A9"/>
    <w:rsid w:val="00F2064D"/>
    <w:rsid w:val="00F20ACE"/>
    <w:rsid w:val="00F20EA4"/>
    <w:rsid w:val="00F22D65"/>
    <w:rsid w:val="00F237EB"/>
    <w:rsid w:val="00F2383D"/>
    <w:rsid w:val="00F23AE7"/>
    <w:rsid w:val="00F23C99"/>
    <w:rsid w:val="00F24C5A"/>
    <w:rsid w:val="00F26158"/>
    <w:rsid w:val="00F26402"/>
    <w:rsid w:val="00F27DAA"/>
    <w:rsid w:val="00F3004B"/>
    <w:rsid w:val="00F312B3"/>
    <w:rsid w:val="00F314C1"/>
    <w:rsid w:val="00F31F97"/>
    <w:rsid w:val="00F323B2"/>
    <w:rsid w:val="00F32E9F"/>
    <w:rsid w:val="00F34AA8"/>
    <w:rsid w:val="00F35C12"/>
    <w:rsid w:val="00F37AF9"/>
    <w:rsid w:val="00F4164A"/>
    <w:rsid w:val="00F44568"/>
    <w:rsid w:val="00F504D4"/>
    <w:rsid w:val="00F5065B"/>
    <w:rsid w:val="00F5074D"/>
    <w:rsid w:val="00F518BA"/>
    <w:rsid w:val="00F51D79"/>
    <w:rsid w:val="00F53F8F"/>
    <w:rsid w:val="00F540AE"/>
    <w:rsid w:val="00F54645"/>
    <w:rsid w:val="00F557CB"/>
    <w:rsid w:val="00F5655F"/>
    <w:rsid w:val="00F568EA"/>
    <w:rsid w:val="00F57476"/>
    <w:rsid w:val="00F61181"/>
    <w:rsid w:val="00F612AF"/>
    <w:rsid w:val="00F61381"/>
    <w:rsid w:val="00F6138F"/>
    <w:rsid w:val="00F61FB4"/>
    <w:rsid w:val="00F627D3"/>
    <w:rsid w:val="00F62B7B"/>
    <w:rsid w:val="00F62BA2"/>
    <w:rsid w:val="00F64A99"/>
    <w:rsid w:val="00F64AEA"/>
    <w:rsid w:val="00F64C4E"/>
    <w:rsid w:val="00F65900"/>
    <w:rsid w:val="00F66541"/>
    <w:rsid w:val="00F67826"/>
    <w:rsid w:val="00F67A43"/>
    <w:rsid w:val="00F700A0"/>
    <w:rsid w:val="00F704D7"/>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854F0"/>
    <w:rsid w:val="00F91BBD"/>
    <w:rsid w:val="00F91D78"/>
    <w:rsid w:val="00F930E3"/>
    <w:rsid w:val="00F93E5F"/>
    <w:rsid w:val="00F94022"/>
    <w:rsid w:val="00F94722"/>
    <w:rsid w:val="00F94F40"/>
    <w:rsid w:val="00F960DA"/>
    <w:rsid w:val="00F97727"/>
    <w:rsid w:val="00F97BD5"/>
    <w:rsid w:val="00FA02B1"/>
    <w:rsid w:val="00FA226E"/>
    <w:rsid w:val="00FA2872"/>
    <w:rsid w:val="00FA2CA3"/>
    <w:rsid w:val="00FA3220"/>
    <w:rsid w:val="00FA3D32"/>
    <w:rsid w:val="00FA3DC0"/>
    <w:rsid w:val="00FA41B9"/>
    <w:rsid w:val="00FA42C7"/>
    <w:rsid w:val="00FA56B1"/>
    <w:rsid w:val="00FA57D3"/>
    <w:rsid w:val="00FA64C9"/>
    <w:rsid w:val="00FA7137"/>
    <w:rsid w:val="00FB0F5C"/>
    <w:rsid w:val="00FB27B8"/>
    <w:rsid w:val="00FB3536"/>
    <w:rsid w:val="00FB366C"/>
    <w:rsid w:val="00FB4575"/>
    <w:rsid w:val="00FB4E8F"/>
    <w:rsid w:val="00FB637F"/>
    <w:rsid w:val="00FB6479"/>
    <w:rsid w:val="00FB7329"/>
    <w:rsid w:val="00FC0233"/>
    <w:rsid w:val="00FC039D"/>
    <w:rsid w:val="00FC09A4"/>
    <w:rsid w:val="00FC0E4C"/>
    <w:rsid w:val="00FC2E98"/>
    <w:rsid w:val="00FC2ED1"/>
    <w:rsid w:val="00FC30F8"/>
    <w:rsid w:val="00FC36C9"/>
    <w:rsid w:val="00FC3AA8"/>
    <w:rsid w:val="00FC6D79"/>
    <w:rsid w:val="00FD021C"/>
    <w:rsid w:val="00FD084B"/>
    <w:rsid w:val="00FD1B56"/>
    <w:rsid w:val="00FD1C6B"/>
    <w:rsid w:val="00FD2212"/>
    <w:rsid w:val="00FD2C00"/>
    <w:rsid w:val="00FD318A"/>
    <w:rsid w:val="00FD35AA"/>
    <w:rsid w:val="00FD3627"/>
    <w:rsid w:val="00FD3AA6"/>
    <w:rsid w:val="00FD3ACC"/>
    <w:rsid w:val="00FD3E24"/>
    <w:rsid w:val="00FD434A"/>
    <w:rsid w:val="00FD5FFF"/>
    <w:rsid w:val="00FD6749"/>
    <w:rsid w:val="00FD7946"/>
    <w:rsid w:val="00FE00D6"/>
    <w:rsid w:val="00FE0296"/>
    <w:rsid w:val="00FE0ADF"/>
    <w:rsid w:val="00FE0F88"/>
    <w:rsid w:val="00FE340F"/>
    <w:rsid w:val="00FE38BF"/>
    <w:rsid w:val="00FE4EAC"/>
    <w:rsid w:val="00FE54BF"/>
    <w:rsid w:val="00FE5C8B"/>
    <w:rsid w:val="00FF0D2B"/>
    <w:rsid w:val="00FF3846"/>
    <w:rsid w:val="00FF3B6F"/>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960652838">
      <w:bodyDiv w:val="1"/>
      <w:marLeft w:val="0"/>
      <w:marRight w:val="0"/>
      <w:marTop w:val="0"/>
      <w:marBottom w:val="0"/>
      <w:divBdr>
        <w:top w:val="none" w:sz="0" w:space="0" w:color="auto"/>
        <w:left w:val="none" w:sz="0" w:space="0" w:color="auto"/>
        <w:bottom w:val="none" w:sz="0" w:space="0" w:color="auto"/>
        <w:right w:val="none" w:sz="0" w:space="0" w:color="auto"/>
      </w:divBdr>
      <w:divsChild>
        <w:div w:id="1180389129">
          <w:marLeft w:val="0"/>
          <w:marRight w:val="0"/>
          <w:marTop w:val="0"/>
          <w:marBottom w:val="0"/>
          <w:divBdr>
            <w:top w:val="none" w:sz="0" w:space="0" w:color="auto"/>
            <w:left w:val="none" w:sz="0" w:space="0" w:color="auto"/>
            <w:bottom w:val="none" w:sz="0" w:space="0" w:color="auto"/>
            <w:right w:val="none" w:sz="0" w:space="0" w:color="auto"/>
          </w:divBdr>
          <w:divsChild>
            <w:div w:id="1836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ballabio/quantli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casomigli/SABR-volatility-mod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an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20465</TotalTime>
  <Pages>28</Pages>
  <Words>9798</Words>
  <Characters>55852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65519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1909</cp:revision>
  <cp:lastPrinted>2018-07-07T08:20:00Z</cp:lastPrinted>
  <dcterms:created xsi:type="dcterms:W3CDTF">2021-08-12T16:30:00Z</dcterms:created>
  <dcterms:modified xsi:type="dcterms:W3CDTF">2021-09-08T08:20:00Z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