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2AE7" w14:textId="77777777" w:rsidR="00F905DC" w:rsidRDefault="00F905DC">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4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
        <w:gridCol w:w="2480"/>
        <w:gridCol w:w="41"/>
        <w:gridCol w:w="1592"/>
        <w:gridCol w:w="628"/>
        <w:gridCol w:w="669"/>
        <w:gridCol w:w="379"/>
        <w:gridCol w:w="810"/>
        <w:gridCol w:w="1390"/>
      </w:tblGrid>
      <w:tr w:rsidR="00F905DC" w14:paraId="4B48AB8A" w14:textId="77777777">
        <w:trPr>
          <w:trHeight w:val="284"/>
        </w:trPr>
        <w:tc>
          <w:tcPr>
            <w:tcW w:w="2979" w:type="dxa"/>
            <w:gridSpan w:val="2"/>
          </w:tcPr>
          <w:p w14:paraId="5979AD9E" w14:textId="41D94E80" w:rsidR="0067164F" w:rsidRDefault="00000000">
            <w:pPr>
              <w:spacing w:after="20"/>
            </w:pPr>
            <w:r>
              <w:rPr>
                <w:b/>
                <w:sz w:val="18"/>
              </w:rPr>
              <w:t>FECHA: 04/09/</w:t>
            </w:r>
            <w:r w:rsidR="00000D39">
              <w:rPr>
                <w:b/>
                <w:sz w:val="18"/>
              </w:rPr>
              <w:t>2026</w:t>
            </w:r>
          </w:p>
        </w:tc>
        <w:tc>
          <w:tcPr>
            <w:tcW w:w="2930" w:type="dxa"/>
            <w:gridSpan w:val="4"/>
          </w:tcPr>
          <w:p w14:paraId="2C066E1A" w14:textId="7FB000CD" w:rsidR="0067164F" w:rsidRDefault="00000D39">
            <w:pPr>
              <w:jc w:val="center"/>
            </w:pPr>
            <w:r>
              <w:rPr>
                <w:b/>
                <w:sz w:val="18"/>
              </w:rPr>
              <w:t xml:space="preserve">  LUGAR: CIS COMFAMA SANTA MARIA - ITAGUI</w:t>
            </w:r>
          </w:p>
        </w:tc>
        <w:tc>
          <w:tcPr>
            <w:tcW w:w="2579" w:type="dxa"/>
            <w:gridSpan w:val="3"/>
          </w:tcPr>
          <w:p w14:paraId="0DBA9DE9" w14:textId="77777777" w:rsidR="0067164F" w:rsidRDefault="0067164F">
            <w:pPr>
              <w:spacing w:after="20"/>
            </w:pPr>
          </w:p>
        </w:tc>
      </w:tr>
      <w:tr w:rsidR="00F905DC" w14:paraId="4A9D0EC3" w14:textId="77777777">
        <w:trPr>
          <w:trHeight w:val="489"/>
        </w:trPr>
        <w:tc>
          <w:tcPr>
            <w:tcW w:w="8488" w:type="dxa"/>
            <w:gridSpan w:val="9"/>
          </w:tcPr>
          <w:p w14:paraId="3DE9BA4E" w14:textId="77777777" w:rsidR="0067164F" w:rsidRDefault="00000000">
            <w:pPr>
              <w:jc w:val="center"/>
            </w:pPr>
            <w:r>
              <w:rPr>
                <w:rFonts w:ascii="Century Gothic" w:hAnsi="Century Gothic" w:cs="Century Gothic"/>
                <w:sz w:val="20"/>
                <w:szCs w:val="20"/>
              </w:rPr>
              <w:t>OBJETIVOS DE LA REUNION: Socializar con los médicos generales de CIS COMFAMA MANRIQUE los resultados de la auditoría de incapacidades realizada al paciente CC 71723344 (Ardila Agudelo, Albeiro De Jesus). Presentar la metodología de auditoría (criterios de pertinencia), analizar el caso clínico con énfasis en el análisis clínico, la falta de activación de la Red de Cotizantes, el manejo del dolor crónico y la verificación de marcaciones de reintegro laboral, y establecer compromisos de mejora.</w:t>
            </w:r>
          </w:p>
        </w:tc>
      </w:tr>
      <w:tr w:rsidR="00F905DC" w14:paraId="0BEDFD12" w14:textId="77777777">
        <w:trPr>
          <w:trHeight w:val="118"/>
        </w:trPr>
        <w:tc>
          <w:tcPr>
            <w:tcW w:w="499" w:type="dxa"/>
            <w:vMerge w:val="restart"/>
          </w:tcPr>
          <w:p w14:paraId="064C332C" w14:textId="77777777" w:rsidR="00F905DC" w:rsidRDefault="00000000">
            <w:pPr>
              <w:ind w:left="113" w:right="113"/>
              <w:jc w:val="center"/>
              <w:rPr>
                <w:sz w:val="22"/>
                <w:szCs w:val="22"/>
              </w:rPr>
            </w:pPr>
            <w:r>
              <w:rPr>
                <w:b/>
                <w:sz w:val="22"/>
                <w:szCs w:val="22"/>
              </w:rPr>
              <w:t>PARTICIPANTES</w:t>
            </w:r>
            <w:r>
              <w:rPr>
                <w:sz w:val="22"/>
                <w:szCs w:val="22"/>
              </w:rPr>
              <w:t>:</w:t>
            </w:r>
          </w:p>
        </w:tc>
        <w:tc>
          <w:tcPr>
            <w:tcW w:w="2521" w:type="dxa"/>
            <w:gridSpan w:val="2"/>
          </w:tcPr>
          <w:p w14:paraId="3453DAC7" w14:textId="77777777" w:rsidR="00F905DC" w:rsidRDefault="00000000">
            <w:pPr>
              <w:jc w:val="center"/>
              <w:rPr>
                <w:b/>
                <w:sz w:val="22"/>
                <w:szCs w:val="22"/>
              </w:rPr>
            </w:pPr>
            <w:r>
              <w:rPr>
                <w:b/>
                <w:sz w:val="22"/>
                <w:szCs w:val="22"/>
              </w:rPr>
              <w:t>NOMBRE</w:t>
            </w:r>
          </w:p>
        </w:tc>
        <w:tc>
          <w:tcPr>
            <w:tcW w:w="2220" w:type="dxa"/>
            <w:gridSpan w:val="2"/>
          </w:tcPr>
          <w:p w14:paraId="0FFCDC30" w14:textId="77777777" w:rsidR="00F905DC" w:rsidRDefault="00000000">
            <w:pPr>
              <w:jc w:val="center"/>
              <w:rPr>
                <w:b/>
                <w:sz w:val="22"/>
                <w:szCs w:val="22"/>
              </w:rPr>
            </w:pPr>
            <w:r>
              <w:rPr>
                <w:b/>
                <w:sz w:val="22"/>
                <w:szCs w:val="22"/>
              </w:rPr>
              <w:t>CARGO</w:t>
            </w:r>
          </w:p>
        </w:tc>
        <w:tc>
          <w:tcPr>
            <w:tcW w:w="1048" w:type="dxa"/>
            <w:gridSpan w:val="2"/>
          </w:tcPr>
          <w:p w14:paraId="7297D362" w14:textId="77777777" w:rsidR="00F905DC" w:rsidRDefault="00000000">
            <w:pPr>
              <w:jc w:val="center"/>
              <w:rPr>
                <w:b/>
                <w:sz w:val="22"/>
                <w:szCs w:val="22"/>
              </w:rPr>
            </w:pPr>
            <w:r>
              <w:rPr>
                <w:b/>
                <w:sz w:val="22"/>
                <w:szCs w:val="22"/>
              </w:rPr>
              <w:t>SEDE</w:t>
            </w:r>
          </w:p>
        </w:tc>
        <w:tc>
          <w:tcPr>
            <w:tcW w:w="2200" w:type="dxa"/>
            <w:gridSpan w:val="2"/>
          </w:tcPr>
          <w:p w14:paraId="45954E69" w14:textId="77777777" w:rsidR="00F905DC" w:rsidRDefault="00000000">
            <w:pPr>
              <w:jc w:val="center"/>
              <w:rPr>
                <w:b/>
                <w:sz w:val="22"/>
                <w:szCs w:val="22"/>
              </w:rPr>
            </w:pPr>
            <w:r>
              <w:rPr>
                <w:b/>
                <w:sz w:val="22"/>
                <w:szCs w:val="22"/>
              </w:rPr>
              <w:t>FIRMA</w:t>
            </w:r>
          </w:p>
        </w:tc>
      </w:tr>
      <w:tr w:rsidR="00000D39" w14:paraId="2E32F713" w14:textId="77777777">
        <w:trPr>
          <w:trHeight w:val="191"/>
        </w:trPr>
        <w:tc>
          <w:tcPr>
            <w:tcW w:w="499" w:type="dxa"/>
            <w:vMerge/>
          </w:tcPr>
          <w:p w14:paraId="441256BC" w14:textId="77777777" w:rsidR="00000D39" w:rsidRDefault="00000D39" w:rsidP="00000D39">
            <w:pPr>
              <w:widowControl w:val="0"/>
              <w:pBdr>
                <w:top w:val="nil"/>
                <w:left w:val="nil"/>
                <w:bottom w:val="nil"/>
                <w:right w:val="nil"/>
                <w:between w:val="nil"/>
              </w:pBdr>
              <w:spacing w:line="276" w:lineRule="auto"/>
              <w:rPr>
                <w:b/>
                <w:sz w:val="22"/>
                <w:szCs w:val="22"/>
              </w:rPr>
            </w:pPr>
          </w:p>
        </w:tc>
        <w:tc>
          <w:tcPr>
            <w:tcW w:w="2521" w:type="dxa"/>
            <w:gridSpan w:val="2"/>
          </w:tcPr>
          <w:p w14:paraId="0E9630CF" w14:textId="4DB9899C" w:rsidR="00000D39" w:rsidRDefault="00000D39" w:rsidP="00000D39">
            <w:pPr>
              <w:jc w:val="center"/>
            </w:pPr>
            <w:r>
              <w:rPr>
                <w:rFonts w:ascii="Century Gothic" w:hAnsi="Century Gothic" w:cs="Century Gothic"/>
                <w:sz w:val="20"/>
                <w:szCs w:val="20"/>
              </w:rPr>
              <w:t>Dr. Jhon Edwin Meneses Castaño</w:t>
            </w:r>
          </w:p>
        </w:tc>
        <w:tc>
          <w:tcPr>
            <w:tcW w:w="2220" w:type="dxa"/>
            <w:gridSpan w:val="2"/>
          </w:tcPr>
          <w:p w14:paraId="32DB25C1" w14:textId="72FBD2AE" w:rsidR="00000D39" w:rsidRDefault="00000D39" w:rsidP="00000D39">
            <w:pPr>
              <w:jc w:val="center"/>
            </w:pPr>
            <w:r>
              <w:t>Médico General</w:t>
            </w:r>
          </w:p>
        </w:tc>
        <w:tc>
          <w:tcPr>
            <w:tcW w:w="1048" w:type="dxa"/>
            <w:gridSpan w:val="2"/>
          </w:tcPr>
          <w:p w14:paraId="1C442B91" w14:textId="7F6A523E" w:rsidR="00000D39" w:rsidRDefault="00000D39" w:rsidP="00000D39">
            <w:pPr>
              <w:jc w:val="center"/>
            </w:pPr>
            <w:r>
              <w:t>CIS Santa María</w:t>
            </w:r>
          </w:p>
        </w:tc>
        <w:tc>
          <w:tcPr>
            <w:tcW w:w="2200" w:type="dxa"/>
            <w:gridSpan w:val="2"/>
          </w:tcPr>
          <w:p w14:paraId="7E4813F7" w14:textId="77777777" w:rsidR="00000D39" w:rsidRDefault="00000D39" w:rsidP="00000D39">
            <w:pPr>
              <w:jc w:val="center"/>
            </w:pPr>
          </w:p>
        </w:tc>
      </w:tr>
      <w:tr w:rsidR="00000D39" w14:paraId="29A76F68" w14:textId="77777777">
        <w:trPr>
          <w:trHeight w:val="191"/>
        </w:trPr>
        <w:tc>
          <w:tcPr>
            <w:tcW w:w="499" w:type="dxa"/>
            <w:vMerge/>
          </w:tcPr>
          <w:p w14:paraId="743D4F9E" w14:textId="77777777" w:rsidR="00000D39" w:rsidRDefault="00000D39" w:rsidP="00000D39">
            <w:pPr>
              <w:widowControl w:val="0"/>
              <w:pBdr>
                <w:top w:val="nil"/>
                <w:left w:val="nil"/>
                <w:bottom w:val="nil"/>
                <w:right w:val="nil"/>
                <w:between w:val="nil"/>
              </w:pBdr>
              <w:spacing w:line="276" w:lineRule="auto"/>
              <w:rPr>
                <w:b/>
                <w:sz w:val="22"/>
                <w:szCs w:val="22"/>
              </w:rPr>
            </w:pPr>
          </w:p>
        </w:tc>
        <w:tc>
          <w:tcPr>
            <w:tcW w:w="2521" w:type="dxa"/>
            <w:gridSpan w:val="2"/>
          </w:tcPr>
          <w:p w14:paraId="6F2457AF" w14:textId="084CEB45" w:rsidR="00000D39" w:rsidRDefault="00000D39" w:rsidP="00000D39">
            <w:pPr>
              <w:jc w:val="center"/>
            </w:pPr>
            <w:r>
              <w:rPr>
                <w:rFonts w:ascii="Century Gothic" w:hAnsi="Century Gothic" w:cs="Century Gothic"/>
                <w:sz w:val="20"/>
                <w:szCs w:val="20"/>
              </w:rPr>
              <w:t xml:space="preserve">Lucas Santiago Osorio Agudelo </w:t>
            </w:r>
          </w:p>
        </w:tc>
        <w:tc>
          <w:tcPr>
            <w:tcW w:w="2220" w:type="dxa"/>
            <w:gridSpan w:val="2"/>
          </w:tcPr>
          <w:p w14:paraId="6044B501" w14:textId="045540C4" w:rsidR="00000D39" w:rsidRDefault="00000D39" w:rsidP="00000D39">
            <w:pPr>
              <w:jc w:val="center"/>
            </w:pPr>
            <w:r>
              <w:t xml:space="preserve">Líder Gestión clínica Pertinencia -Medicina </w:t>
            </w:r>
            <w:r w:rsidR="00652039">
              <w:t>Laboral</w:t>
            </w:r>
          </w:p>
        </w:tc>
        <w:tc>
          <w:tcPr>
            <w:tcW w:w="1048" w:type="dxa"/>
            <w:gridSpan w:val="2"/>
          </w:tcPr>
          <w:p w14:paraId="46E0DEE0" w14:textId="04FFA5BF" w:rsidR="00000D39" w:rsidRDefault="00000D39" w:rsidP="00000D39">
            <w:pPr>
              <w:jc w:val="center"/>
            </w:pPr>
            <w:r>
              <w:t>GESTAC</w:t>
            </w:r>
          </w:p>
        </w:tc>
        <w:tc>
          <w:tcPr>
            <w:tcW w:w="2200" w:type="dxa"/>
            <w:gridSpan w:val="2"/>
          </w:tcPr>
          <w:p w14:paraId="3BD3065A" w14:textId="77777777" w:rsidR="00000D39" w:rsidRDefault="00000D39" w:rsidP="00000D39">
            <w:pPr>
              <w:jc w:val="center"/>
            </w:pPr>
          </w:p>
        </w:tc>
      </w:tr>
      <w:tr w:rsidR="00000D39" w14:paraId="4CDB1C46" w14:textId="77777777">
        <w:trPr>
          <w:trHeight w:val="110"/>
        </w:trPr>
        <w:tc>
          <w:tcPr>
            <w:tcW w:w="8488" w:type="dxa"/>
            <w:gridSpan w:val="9"/>
          </w:tcPr>
          <w:p w14:paraId="1769B1EA" w14:textId="77777777" w:rsidR="00000D39" w:rsidRDefault="00000D39" w:rsidP="00000D39">
            <w:pPr>
              <w:pBdr>
                <w:top w:val="single" w:sz="4" w:space="1" w:color="000000"/>
                <w:left w:val="single" w:sz="4" w:space="4" w:color="000000"/>
                <w:right w:val="single" w:sz="4" w:space="0" w:color="000000"/>
              </w:pBdr>
              <w:ind w:right="-115"/>
              <w:rPr>
                <w:b/>
                <w:sz w:val="22"/>
                <w:szCs w:val="22"/>
              </w:rPr>
            </w:pPr>
          </w:p>
        </w:tc>
      </w:tr>
      <w:tr w:rsidR="00000D39" w14:paraId="68DD637D" w14:textId="77777777">
        <w:trPr>
          <w:trHeight w:val="251"/>
        </w:trPr>
        <w:tc>
          <w:tcPr>
            <w:tcW w:w="8488" w:type="dxa"/>
            <w:gridSpan w:val="9"/>
            <w:vAlign w:val="center"/>
          </w:tcPr>
          <w:p w14:paraId="0CD88119" w14:textId="77777777" w:rsidR="00000D39" w:rsidRDefault="00000D39" w:rsidP="00000D39">
            <w:pPr>
              <w:jc w:val="center"/>
              <w:rPr>
                <w:b/>
                <w:sz w:val="22"/>
                <w:szCs w:val="22"/>
              </w:rPr>
            </w:pPr>
            <w:r>
              <w:rPr>
                <w:b/>
                <w:sz w:val="22"/>
                <w:szCs w:val="22"/>
              </w:rPr>
              <w:t>ORDEN DEL DIA:</w:t>
            </w:r>
          </w:p>
        </w:tc>
      </w:tr>
      <w:tr w:rsidR="00000D39" w14:paraId="4B2F9E11" w14:textId="77777777">
        <w:trPr>
          <w:trHeight w:val="38"/>
        </w:trPr>
        <w:tc>
          <w:tcPr>
            <w:tcW w:w="8488" w:type="dxa"/>
            <w:gridSpan w:val="9"/>
            <w:vAlign w:val="center"/>
          </w:tcPr>
          <w:p w14:paraId="103E9039" w14:textId="77777777" w:rsidR="00000D39" w:rsidRDefault="00000D39" w:rsidP="00000D39">
            <w:pPr>
              <w:jc w:val="center"/>
            </w:pPr>
            <w:r>
              <w:rPr>
                <w:rFonts w:ascii="Century Gothic" w:hAnsi="Century Gothic" w:cs="Century Gothic"/>
                <w:sz w:val="20"/>
                <w:szCs w:val="20"/>
              </w:rPr>
              <w:t>Retroalimentación de auditoría de pertinencia de incapacidades médicas generadas por Jhon Edwin Meneses Castaño en CIS COMFAMA SANTA MARIA - ITAGUI. Se auditan 25 incapacidades, de las cuales 25 resultan NO PERTINENTE y 0 PERTINENTE.</w:t>
            </w:r>
          </w:p>
        </w:tc>
      </w:tr>
      <w:tr w:rsidR="00000D39" w14:paraId="4C849399" w14:textId="77777777">
        <w:trPr>
          <w:trHeight w:val="38"/>
        </w:trPr>
        <w:tc>
          <w:tcPr>
            <w:tcW w:w="8488" w:type="dxa"/>
            <w:gridSpan w:val="9"/>
            <w:vAlign w:val="center"/>
          </w:tcPr>
          <w:p w14:paraId="7CCFD753" w14:textId="77777777" w:rsidR="00000D39" w:rsidRDefault="00000D39" w:rsidP="00000D39">
            <w:pPr>
              <w:tabs>
                <w:tab w:val="right" w:pos="11049"/>
              </w:tabs>
              <w:jc w:val="center"/>
              <w:rPr>
                <w:sz w:val="22"/>
                <w:szCs w:val="22"/>
              </w:rPr>
            </w:pPr>
            <w:r>
              <w:rPr>
                <w:b/>
                <w:sz w:val="22"/>
                <w:szCs w:val="22"/>
              </w:rPr>
              <w:t>NOTAS GENERALES DE LA REUNION:</w:t>
            </w:r>
          </w:p>
        </w:tc>
      </w:tr>
      <w:tr w:rsidR="00000D39" w14:paraId="66F1862A" w14:textId="77777777">
        <w:trPr>
          <w:trHeight w:val="38"/>
        </w:trPr>
        <w:tc>
          <w:tcPr>
            <w:tcW w:w="8488" w:type="dxa"/>
            <w:gridSpan w:val="9"/>
            <w:vAlign w:val="center"/>
          </w:tcPr>
          <w:p w14:paraId="41CB166A" w14:textId="7FC7BFD9" w:rsidR="00000D39" w:rsidRDefault="00000D39" w:rsidP="0023247F">
            <w:pPr>
              <w:rPr>
                <w:rFonts w:ascii="Century Gothic" w:hAnsi="Century Gothic" w:cs="Century Gothic"/>
                <w:sz w:val="20"/>
                <w:szCs w:val="20"/>
              </w:rPr>
            </w:pPr>
            <w:r w:rsidRPr="00000D39">
              <w:rPr>
                <w:rFonts w:ascii="Century Gothic" w:hAnsi="Century Gothic" w:cs="Century Gothic"/>
                <w:b/>
                <w:bCs/>
                <w:sz w:val="20"/>
                <w:szCs w:val="20"/>
              </w:rPr>
              <w:t xml:space="preserve">PACIENTE: </w:t>
            </w:r>
            <w:r>
              <w:rPr>
                <w:rFonts w:ascii="Century Gothic" w:hAnsi="Century Gothic" w:cs="Century Gothic"/>
                <w:sz w:val="20"/>
                <w:szCs w:val="20"/>
              </w:rPr>
              <w:t>Cano Obando, Luz Marina (CC 42784741), 58 años, Femenino. Sede: CIS COMFAMA SANTA MARIA - ITAGUI. Ocupación: No registrada. Diagnóstico principal: M751 - Síndrome del manguito rotatorio bilateral. Antecedentes: Desgarro parcial alto grado supraespinoso con extensión a infraespinoso (RMN 29/01/2026 hombro izq). Dolor crónico columna (seguimiento INCODOL). Colon irritable. Hiperlipidemia. Obesidad. Trastorno ansiedad. Lumbago con ciática. PCL: No reportada. Rehabilitación: Pendiente valoración ortopedia (agendada repetidamente, no concretada en 6 meses</w:t>
            </w:r>
            <w:r w:rsidRPr="00000D39">
              <w:rPr>
                <w:rFonts w:ascii="Century Gothic" w:hAnsi="Century Gothic" w:cs="Century Gothic"/>
                <w:sz w:val="20"/>
                <w:szCs w:val="20"/>
              </w:rPr>
              <w:t>).</w:t>
            </w:r>
            <w:r w:rsidR="0023247F">
              <w:rPr>
                <w:rFonts w:ascii="Century Gothic" w:hAnsi="Century Gothic" w:cs="Century Gothic"/>
                <w:sz w:val="20"/>
                <w:szCs w:val="20"/>
              </w:rPr>
              <w:br/>
            </w:r>
            <w:r w:rsidR="0023247F">
              <w:rPr>
                <w:rFonts w:ascii="Century Gothic" w:hAnsi="Century Gothic" w:cs="Century Gothic"/>
                <w:sz w:val="20"/>
                <w:szCs w:val="20"/>
              </w:rPr>
              <w:br/>
            </w:r>
            <w:r w:rsidR="0023247F" w:rsidRPr="0023247F">
              <w:rPr>
                <w:rFonts w:ascii="Century Gothic" w:hAnsi="Century Gothic" w:cs="Century Gothic"/>
                <w:b/>
                <w:bCs/>
                <w:sz w:val="20"/>
                <w:szCs w:val="20"/>
              </w:rPr>
              <w:t>INDICADORES A EVALUAR:</w:t>
            </w:r>
            <w:r w:rsidR="0023247F">
              <w:rPr>
                <w:rFonts w:ascii="Century Gothic" w:hAnsi="Century Gothic" w:cs="Century Gothic"/>
                <w:sz w:val="20"/>
                <w:szCs w:val="20"/>
              </w:rPr>
              <w:br/>
            </w:r>
            <w:r w:rsidR="0023247F" w:rsidRPr="0023247F">
              <w:rPr>
                <w:rFonts w:ascii="Century Gothic" w:hAnsi="Century Gothic" w:cs="Century Gothic"/>
                <w:sz w:val="20"/>
                <w:szCs w:val="20"/>
              </w:rPr>
              <w:drawing>
                <wp:inline distT="0" distB="0" distL="0" distR="0" wp14:anchorId="43B4FA45" wp14:editId="10F20C46">
                  <wp:extent cx="5243830" cy="207010"/>
                  <wp:effectExtent l="0" t="0" r="0" b="2540"/>
                  <wp:docPr id="1865392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2885" name=""/>
                          <pic:cNvPicPr/>
                        </pic:nvPicPr>
                        <pic:blipFill>
                          <a:blip r:embed="rId10"/>
                          <a:stretch>
                            <a:fillRect/>
                          </a:stretch>
                        </pic:blipFill>
                        <pic:spPr>
                          <a:xfrm>
                            <a:off x="0" y="0"/>
                            <a:ext cx="5243830" cy="207010"/>
                          </a:xfrm>
                          <a:prstGeom prst="rect">
                            <a:avLst/>
                          </a:prstGeom>
                        </pic:spPr>
                      </pic:pic>
                    </a:graphicData>
                  </a:graphic>
                </wp:inline>
              </w:drawing>
            </w:r>
            <w:r w:rsidR="0023247F">
              <w:rPr>
                <w:rFonts w:ascii="Century Gothic" w:hAnsi="Century Gothic" w:cs="Century Gothic"/>
                <w:sz w:val="20"/>
                <w:szCs w:val="20"/>
              </w:rPr>
              <w:br/>
            </w:r>
            <w:r w:rsidR="0023247F">
              <w:rPr>
                <w:rFonts w:ascii="Century Gothic" w:hAnsi="Century Gothic" w:cs="Century Gothic"/>
                <w:b/>
                <w:bCs/>
                <w:sz w:val="20"/>
                <w:szCs w:val="20"/>
              </w:rPr>
              <w:br/>
            </w:r>
            <w:r w:rsidRPr="00000D39">
              <w:rPr>
                <w:rFonts w:ascii="Century Gothic" w:hAnsi="Century Gothic" w:cs="Century Gothic"/>
                <w:b/>
                <w:bCs/>
                <w:sz w:val="20"/>
                <w:szCs w:val="20"/>
              </w:rPr>
              <w:t>INCAPACIDADES AUDITADAS</w:t>
            </w:r>
            <w:r>
              <w:rPr>
                <w:rFonts w:ascii="Century Gothic" w:hAnsi="Century Gothic" w:cs="Century Gothic"/>
                <w:sz w:val="20"/>
                <w:szCs w:val="20"/>
              </w:rPr>
              <w:t xml:space="preserve"> (19): </w:t>
            </w:r>
          </w:p>
          <w:p w14:paraId="2C19ADB1"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2026-03-12 | M751 - Síndrome del manguito rotatorio | Prórroga ~2-5 días | I1=0 I2=1 I3=0 I4=0.5 I5=0 | Total=1.5 → NO PERTINENTE</w:t>
            </w:r>
          </w:p>
          <w:p w14:paraId="5D196CD7"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2026-03-18 | M751 - Síndrome del manguito rotatorio | Prórroga ~2-5 días | I1=0 I2=1 I3=0 I4=0.5 I5=0 | Total=1.5 → NO PERTINENTE</w:t>
            </w:r>
          </w:p>
          <w:p w14:paraId="27B577C5"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lastRenderedPageBreak/>
              <w:t>• 2026-03-21 | M751 - Síndrome del manguito rotatorio | Prórroga ~2-5 días | I1=0 I2=1 I3=0 I4=0.5 I5=0 | Total=1.5 → NO PERTINENTE</w:t>
            </w:r>
          </w:p>
          <w:p w14:paraId="5B9C60ED"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2026-05-15 | M751 - Síndrome del manguito rotatorio | Prórroga ~2-5 días | I1=0 I2=1 I3=0 I4=0.5 I5=0 | Total=1.5 → NO PERTINENTE</w:t>
            </w:r>
          </w:p>
          <w:p w14:paraId="7DB75ABE"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2026-05-20 | M751 - Síndrome del manguito rotatorio | Prórroga ~2-5 días | I1=0 I2=1 I3=0 I4=0.5 I5=0 | Total=1.5 → NO PERTINENTE</w:t>
            </w:r>
          </w:p>
          <w:p w14:paraId="0A29A86B"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2026-05-26 | M751 - Síndrome del manguito rotatorio | Prórroga ~2-5 días | I1=0 I2=1 I3=0 I4=0.5 I5=0 | Total=1.5 → NO PERTINENTE</w:t>
            </w:r>
          </w:p>
          <w:p w14:paraId="04D7F3F2"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2026-05-28 | M751 - Síndrome del manguito rotatorio | Prórroga ~2-5 días | I1=0 I2=1 I3=0 I4=0.5 I5=0 | Total=1.5 → NO PERTINENTE</w:t>
            </w:r>
          </w:p>
          <w:p w14:paraId="3B5E98CC"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2026-06-03 | M751 - Síndrome del manguito rotatorio | Prórroga ~2-5 días | I1=0 I2=1 I3=0 I4=0.5 I5=0 | Total=1.5 → NO PERTINENTE</w:t>
            </w:r>
          </w:p>
          <w:p w14:paraId="7A876913"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2026-06-10 | M751 - Síndrome del manguito rotatorio | Prórroga ~2-5 días | I1=0 I2=1 I3=0 I4=0.5 I5=0 | Total=1.5 → NO PERTINENTE</w:t>
            </w:r>
          </w:p>
          <w:p w14:paraId="064AC303"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2026-06-13 | M751 - Síndrome del manguito rotatorio | Prórroga ~2-5 días | I1=0 I2=1 I3=0 I4=0.5 I5=0 | Total=1.5 → NO PERTINENTE</w:t>
            </w:r>
          </w:p>
          <w:p w14:paraId="385D4801"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2026-06-19 | M751 - Síndrome del manguito rotatorio | Prórroga ~2-5 días | I1=0 I2=1 I3=0 I4=0.5 I5=0 | Total=1.5 → NO PERTINENTE</w:t>
            </w:r>
          </w:p>
          <w:p w14:paraId="4A9CD159"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2026-06-22 | M751 - Síndrome del manguito rotatorio | Prórroga ~2-5 días | I1=0 I2=1 I3=0 I4=0.5 I5=0 | Total=1.5 → NO PERTINENTE</w:t>
            </w:r>
          </w:p>
          <w:p w14:paraId="308BED0A"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2026-06-24 | M751 - Síndrome del manguito rotatorio | Prórroga ~2-5 días | I1=0 I2=1 I3=0 I4=0.5 I5=0 | Total=1.5 → NO PERTINENTE</w:t>
            </w:r>
          </w:p>
          <w:p w14:paraId="482ED463"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2026-06-27 | M751 - Síndrome del manguito rotatorio | Prórroga ~2-5 días | I1=0 I2=1 I3=0 I4=0.5 I5=0 | Total=1.5 → NO PERTINENTE</w:t>
            </w:r>
          </w:p>
          <w:p w14:paraId="7C609692"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2026-07-03 | M751 - Síndrome del manguito rotatorio | Prórroga ~2-5 días | I1=0 I2=1 I3=0 I4=0.5 I5=0 | Total=1.5 → NO PERTINENTE</w:t>
            </w:r>
          </w:p>
          <w:p w14:paraId="40D7CBEB"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2026-08-04 | M751 - Síndrome del manguito rotatorio | Prórroga ~2-5 días | I1=0 I2=1 I3=0 I4=0.5 I5=0 | Total=1.5 → NO PERTINENTE</w:t>
            </w:r>
          </w:p>
          <w:p w14:paraId="47AC280A"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2026-08-10 | M751 - Síndrome del manguito rotatorio | Prórroga ~2-5 días | I1=0 I2=1 I3=0 I4=0.5 I5=0 | Total=1.5 → NO PERTINENTE</w:t>
            </w:r>
          </w:p>
          <w:p w14:paraId="47B04DF8"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2026-08-27 | M751 - Síndrome del manguito rotatorio | Prórroga ~2-5 días | I1=0 I2=1 I3=0 I4=0.5 I5=0 | Total=1.5 → NO PERTINENTE</w:t>
            </w:r>
          </w:p>
          <w:p w14:paraId="375836F3" w14:textId="77777777" w:rsidR="00000D39" w:rsidRDefault="00000D39" w:rsidP="00000D39">
            <w:pPr>
              <w:jc w:val="center"/>
              <w:rPr>
                <w:rFonts w:ascii="Century Gothic" w:hAnsi="Century Gothic" w:cs="Century Gothic"/>
                <w:sz w:val="20"/>
                <w:szCs w:val="20"/>
              </w:rPr>
            </w:pPr>
            <w:r>
              <w:rPr>
                <w:rFonts w:ascii="Century Gothic" w:hAnsi="Century Gothic" w:cs="Century Gothic"/>
                <w:sz w:val="20"/>
                <w:szCs w:val="20"/>
              </w:rPr>
              <w:t>• 2026-08-31 | M751 - Síndrome del manguito rotatorio | Prórroga ~2-5 días | I1=0 I2=1 I3=0 I4=0.5 I5=0 | Total=1.5 → NO PERTINENTE</w:t>
            </w:r>
          </w:p>
          <w:p w14:paraId="0535D613" w14:textId="77777777" w:rsidR="0023247F" w:rsidRDefault="00000D39" w:rsidP="00000D39">
            <w:pPr>
              <w:jc w:val="center"/>
              <w:rPr>
                <w:rFonts w:ascii="Century Gothic" w:hAnsi="Century Gothic" w:cs="Century Gothic"/>
                <w:sz w:val="20"/>
                <w:szCs w:val="20"/>
              </w:rPr>
            </w:pPr>
            <w:r w:rsidRPr="0023247F">
              <w:rPr>
                <w:rFonts w:ascii="Century Gothic" w:hAnsi="Century Gothic" w:cs="Century Gothic"/>
                <w:b/>
                <w:bCs/>
                <w:sz w:val="20"/>
                <w:szCs w:val="20"/>
              </w:rPr>
              <w:t xml:space="preserve">  HALLAZGOS PRINCIPALES:</w:t>
            </w:r>
            <w:r>
              <w:rPr>
                <w:rFonts w:ascii="Century Gothic" w:hAnsi="Century Gothic" w:cs="Century Gothic"/>
                <w:sz w:val="20"/>
                <w:szCs w:val="20"/>
              </w:rPr>
              <w:t xml:space="preserve">   - I1=0 (sin indicación clínica válida)   - I3=0 (duración inadecuada / fragmentación)   - I5=0 (registro clínico deficiente / copy-paste)   Detalle I1: Dolor crónico de hombro (manguito rotatorio bilateral) sin cambio agudo documentado. Prorrogas cada 2-5 días durante 6 meses con nota idéntica. Aplica doctrina de dolor crónico: beneficio en reincorporación temprana, no en incapacidad prolongada.   Detalle I4: No verifica estado funcional. Examen físico no descrito más allá de template genérico.   Detalle I5: Copy-paste idéntico en 19 consultas. Cero evolución documentada. No registra hallazgos de examen físico específicos. No documenta gestión de especialidades pendientes ni progreso. No direcciona rehabilitación. </w:t>
            </w:r>
            <w:r w:rsidR="0023247F">
              <w:rPr>
                <w:rFonts w:ascii="Century Gothic" w:hAnsi="Century Gothic" w:cs="Century Gothic"/>
                <w:sz w:val="20"/>
                <w:szCs w:val="20"/>
              </w:rPr>
              <w:br/>
            </w:r>
            <w:r w:rsidRPr="0023247F">
              <w:rPr>
                <w:rFonts w:ascii="Century Gothic" w:hAnsi="Century Gothic" w:cs="Century Gothic"/>
                <w:b/>
                <w:bCs/>
                <w:sz w:val="20"/>
                <w:szCs w:val="20"/>
              </w:rPr>
              <w:t>PACIENTE:</w:t>
            </w:r>
            <w:r>
              <w:rPr>
                <w:rFonts w:ascii="Century Gothic" w:hAnsi="Century Gothic" w:cs="Century Gothic"/>
                <w:sz w:val="20"/>
                <w:szCs w:val="20"/>
              </w:rPr>
              <w:t xml:space="preserve"> Suarez Gallego, Luz Estella (CC 43596858), 51 años, Femenino. Sede: CIS COMFAMA SANTA MARIA - ITAGUI. Ocupación: Auditora (Psicóloga). Diagnóstico principal: G932 - Hipertensión intracraneal benigna. Antecedentes: HIC idiopática con hospitalización feb 2024 (HIC + parálisis facial, Clínica Las Américas). Disautonomía, fibromialgia, trastorno ansiedad/depresión, miomatosis uterina. Empiema por neumonía necrotizante COVID jun 2023. Portadora desfibrilador </w:t>
            </w:r>
            <w:r>
              <w:rPr>
                <w:rFonts w:ascii="Century Gothic" w:hAnsi="Century Gothic" w:cs="Century Gothic"/>
                <w:sz w:val="20"/>
                <w:szCs w:val="20"/>
              </w:rPr>
              <w:lastRenderedPageBreak/>
              <w:t>implantable. Alergia gadolinio. PCL: En proceso de calificación. Rehabilitación: En seguimiento multidisciplinario activo.</w:t>
            </w:r>
          </w:p>
          <w:p w14:paraId="76ECC469" w14:textId="77777777" w:rsidR="0023247F" w:rsidRDefault="0023247F" w:rsidP="00000D39">
            <w:pPr>
              <w:jc w:val="center"/>
              <w:rPr>
                <w:rFonts w:ascii="Century Gothic" w:hAnsi="Century Gothic" w:cs="Century Gothic"/>
                <w:sz w:val="20"/>
                <w:szCs w:val="20"/>
              </w:rPr>
            </w:pPr>
          </w:p>
          <w:p w14:paraId="4813C819" w14:textId="77777777" w:rsidR="0023247F" w:rsidRDefault="00000D39" w:rsidP="00000D39">
            <w:pPr>
              <w:jc w:val="center"/>
              <w:rPr>
                <w:rFonts w:ascii="Century Gothic" w:hAnsi="Century Gothic" w:cs="Century Gothic"/>
                <w:sz w:val="20"/>
                <w:szCs w:val="20"/>
              </w:rPr>
            </w:pPr>
            <w:r w:rsidRPr="0023247F">
              <w:rPr>
                <w:rFonts w:ascii="Century Gothic" w:hAnsi="Century Gothic" w:cs="Century Gothic"/>
                <w:b/>
                <w:bCs/>
                <w:sz w:val="20"/>
                <w:szCs w:val="20"/>
              </w:rPr>
              <w:t>INCAPACIDADES AUDITADAS (6):</w:t>
            </w:r>
            <w:r>
              <w:rPr>
                <w:rFonts w:ascii="Century Gothic" w:hAnsi="Century Gothic" w:cs="Century Gothic"/>
                <w:sz w:val="20"/>
                <w:szCs w:val="20"/>
              </w:rPr>
              <w:t xml:space="preserve"> </w:t>
            </w:r>
            <w:r w:rsidR="0023247F">
              <w:rPr>
                <w:rFonts w:ascii="Century Gothic" w:hAnsi="Century Gothic" w:cs="Century Gothic"/>
                <w:sz w:val="20"/>
                <w:szCs w:val="20"/>
              </w:rPr>
              <w:br/>
            </w:r>
            <w:r>
              <w:rPr>
                <w:rFonts w:ascii="Century Gothic" w:hAnsi="Century Gothic" w:cs="Century Gothic"/>
                <w:sz w:val="20"/>
                <w:szCs w:val="20"/>
              </w:rPr>
              <w:t>• 2026-03-13 | G932 - Hipertensión intracraneal benigna | Prórroga ~~7-14 días | I1=0.5 I2=1 I3=0.5 I4=0.5 I5=0 | Total=2.5 → NO PERTINENTE</w:t>
            </w:r>
            <w:r w:rsidR="0023247F">
              <w:rPr>
                <w:rFonts w:ascii="Century Gothic" w:hAnsi="Century Gothic" w:cs="Century Gothic"/>
                <w:sz w:val="20"/>
                <w:szCs w:val="20"/>
              </w:rPr>
              <w:br/>
            </w:r>
            <w:r>
              <w:rPr>
                <w:rFonts w:ascii="Century Gothic" w:hAnsi="Century Gothic" w:cs="Century Gothic"/>
                <w:sz w:val="20"/>
                <w:szCs w:val="20"/>
              </w:rPr>
              <w:t xml:space="preserve"> • 2026-03-20 | G932 - Hipertensión intracraneal benigna | Prórroga ~~7-14 días | I1=0.5 I2=1 I3=0.5 I4=0.5 I5=0 | Total=2.5 → NO PERTINENTE</w:t>
            </w:r>
            <w:r w:rsidR="0023247F">
              <w:rPr>
                <w:rFonts w:ascii="Century Gothic" w:hAnsi="Century Gothic" w:cs="Century Gothic"/>
                <w:sz w:val="20"/>
                <w:szCs w:val="20"/>
              </w:rPr>
              <w:br/>
            </w:r>
            <w:r>
              <w:rPr>
                <w:rFonts w:ascii="Century Gothic" w:hAnsi="Century Gothic" w:cs="Century Gothic"/>
                <w:sz w:val="20"/>
                <w:szCs w:val="20"/>
              </w:rPr>
              <w:t xml:space="preserve">• 2026-03-27 | G932 - Hipertensión intracraneal benigna | Prórroga ~~7-14 días | I1=0.5 I2=1 I3=0.5 I4=0.5 I5=0 | Total=2.5 → NO PERTINENTE </w:t>
            </w:r>
            <w:r w:rsidR="0023247F">
              <w:rPr>
                <w:rFonts w:ascii="Century Gothic" w:hAnsi="Century Gothic" w:cs="Century Gothic"/>
                <w:sz w:val="20"/>
                <w:szCs w:val="20"/>
              </w:rPr>
              <w:br/>
            </w:r>
            <w:r>
              <w:rPr>
                <w:rFonts w:ascii="Century Gothic" w:hAnsi="Century Gothic" w:cs="Century Gothic"/>
                <w:sz w:val="20"/>
                <w:szCs w:val="20"/>
              </w:rPr>
              <w:t xml:space="preserve">• 2026-04-06 | G932 - Hipertensión intracraneal benigna | Prórroga ~~7-14 días | I1=0.5 I2=1 I3=0.5 I4=0.5 I5=0 | Total=2.5 → NO PERTINENTE </w:t>
            </w:r>
            <w:r w:rsidR="0023247F">
              <w:rPr>
                <w:rFonts w:ascii="Century Gothic" w:hAnsi="Century Gothic" w:cs="Century Gothic"/>
                <w:sz w:val="20"/>
                <w:szCs w:val="20"/>
              </w:rPr>
              <w:br/>
            </w:r>
            <w:r>
              <w:rPr>
                <w:rFonts w:ascii="Century Gothic" w:hAnsi="Century Gothic" w:cs="Century Gothic"/>
                <w:sz w:val="20"/>
                <w:szCs w:val="20"/>
              </w:rPr>
              <w:t xml:space="preserve">• 2026-06-09 | G932 - Hipertensión intracraneal benigna | Prórroga ~~7-14 días | I1=0.5 I2=1 I3=0.5 I4=0.5 I5=0 | Total=2.5 → NO PERTINENTE </w:t>
            </w:r>
            <w:r w:rsidR="0023247F">
              <w:rPr>
                <w:rFonts w:ascii="Century Gothic" w:hAnsi="Century Gothic" w:cs="Century Gothic"/>
                <w:sz w:val="20"/>
                <w:szCs w:val="20"/>
              </w:rPr>
              <w:br/>
            </w:r>
            <w:r>
              <w:rPr>
                <w:rFonts w:ascii="Century Gothic" w:hAnsi="Century Gothic" w:cs="Century Gothic"/>
                <w:sz w:val="20"/>
                <w:szCs w:val="20"/>
              </w:rPr>
              <w:t xml:space="preserve">• 2026-06-23 | G932 - Hipertensión intracraneal benigna | Prórroga ~~7-14 días | I1=0.5 I2=1 I3=0.5 I4=0.5 I5=0 | Total=2.5 → NO PERTINENTE </w:t>
            </w:r>
          </w:p>
          <w:p w14:paraId="1E45F808" w14:textId="220C2C7F" w:rsidR="0023247F" w:rsidRDefault="0023247F" w:rsidP="00000D39">
            <w:pPr>
              <w:jc w:val="center"/>
              <w:rPr>
                <w:rFonts w:ascii="Century Gothic" w:hAnsi="Century Gothic" w:cs="Century Gothic"/>
                <w:sz w:val="20"/>
                <w:szCs w:val="20"/>
              </w:rPr>
            </w:pPr>
            <w:r>
              <w:rPr>
                <w:rFonts w:ascii="Century Gothic" w:hAnsi="Century Gothic" w:cs="Century Gothic"/>
                <w:sz w:val="20"/>
                <w:szCs w:val="20"/>
              </w:rPr>
              <w:br/>
            </w:r>
            <w:r w:rsidR="00000D39" w:rsidRPr="0023247F">
              <w:rPr>
                <w:rFonts w:ascii="Century Gothic" w:hAnsi="Century Gothic" w:cs="Century Gothic"/>
                <w:b/>
                <w:bCs/>
                <w:sz w:val="20"/>
                <w:szCs w:val="20"/>
              </w:rPr>
              <w:t>HALLAZGOS PRINCIPALES:</w:t>
            </w:r>
            <w:r w:rsidR="00000D39">
              <w:rPr>
                <w:rFonts w:ascii="Century Gothic" w:hAnsi="Century Gothic" w:cs="Century Gothic"/>
                <w:sz w:val="20"/>
                <w:szCs w:val="20"/>
              </w:rPr>
              <w:t xml:space="preserve">   - I5=0 (registro clínico deficiente / copy-paste)   Detalle I1: HIC benigna es patología neurológica real con seguimiento multidisciplinario, pero nota no documenta cambio agudo ni razón específica para prórroga. Motivo subjetivo sin objetivar limitación.   Detalle I4: Examen físico completamente normal (Glasgow 15, fuerza 5/5) pero no se correlaciona con limitación funcional referida.   Detalle I5: Nota idéntica copy-paste en todas las consultas. No documenta hallazgos específicos, resultados de estudios, cambios en tratamiento ni evolución. No direcciona gestión de incapacidad prolongada.</w:t>
            </w:r>
          </w:p>
          <w:p w14:paraId="4F84A017" w14:textId="77777777" w:rsidR="0023247F" w:rsidRDefault="0023247F" w:rsidP="00000D39">
            <w:pPr>
              <w:jc w:val="center"/>
              <w:rPr>
                <w:rFonts w:ascii="Century Gothic" w:hAnsi="Century Gothic" w:cs="Century Gothic"/>
                <w:sz w:val="20"/>
                <w:szCs w:val="20"/>
              </w:rPr>
            </w:pPr>
          </w:p>
          <w:p w14:paraId="151F2595" w14:textId="6DBEC3B3" w:rsidR="00000D39" w:rsidRDefault="00000D39" w:rsidP="00000D39">
            <w:pPr>
              <w:jc w:val="center"/>
            </w:pPr>
            <w:r w:rsidRPr="00000D39">
              <w:rPr>
                <w:rFonts w:ascii="Century Gothic" w:hAnsi="Century Gothic" w:cs="Century Gothic"/>
                <w:b/>
                <w:bCs/>
                <w:sz w:val="20"/>
                <w:szCs w:val="20"/>
              </w:rPr>
              <w:t>MARCO NORMATIVO APLICABLE:</w:t>
            </w:r>
            <w:r>
              <w:rPr>
                <w:rFonts w:ascii="Century Gothic" w:hAnsi="Century Gothic" w:cs="Century Gothic"/>
                <w:sz w:val="20"/>
                <w:szCs w:val="20"/>
              </w:rPr>
              <w:t xml:space="preserve"> • Ley 23/1981 (Ética Médica): La incapacidad médica debe corresponder a una valoración clínica objetiva. • Decreto 1427/2022: Regula el reconocimiento y pago de incapacidades. La incapacidad debe estar sustentada en hallazgos clínicos. • Decreto 1072/2015 (Art. 2.2.4.2.1.4): </w:t>
            </w:r>
            <w:r w:rsidR="00DB7B00">
              <w:rPr>
                <w:rFonts w:ascii="Century Gothic" w:hAnsi="Century Gothic" w:cs="Century Gothic"/>
                <w:sz w:val="20"/>
                <w:szCs w:val="20"/>
              </w:rPr>
              <w:t>R</w:t>
            </w:r>
            <w:r>
              <w:rPr>
                <w:rFonts w:ascii="Century Gothic" w:hAnsi="Century Gothic" w:cs="Century Gothic"/>
                <w:sz w:val="20"/>
                <w:szCs w:val="20"/>
              </w:rPr>
              <w:t>eintegro laboral cuando no existe contraindicación médica • Doctrina OMS/OIT: El dolor crónico se beneficia de reincorporación laboral temprana; la incapacidad prolongada favorece cronificación, desacondicionamiento funcional y percepción de discapacidad mayor a la objetivamente documentada.</w:t>
            </w:r>
          </w:p>
        </w:tc>
      </w:tr>
      <w:tr w:rsidR="00000D39" w14:paraId="69E48BC8" w14:textId="77777777">
        <w:trPr>
          <w:trHeight w:val="110"/>
        </w:trPr>
        <w:tc>
          <w:tcPr>
            <w:tcW w:w="8488" w:type="dxa"/>
            <w:gridSpan w:val="9"/>
          </w:tcPr>
          <w:p w14:paraId="5AB4EC92" w14:textId="77777777" w:rsidR="00000D39" w:rsidRDefault="00000D39" w:rsidP="00000D39">
            <w:pPr>
              <w:pBdr>
                <w:top w:val="single" w:sz="4" w:space="1" w:color="000000"/>
                <w:left w:val="single" w:sz="4" w:space="4" w:color="000000"/>
                <w:right w:val="single" w:sz="4" w:space="0" w:color="000000"/>
              </w:pBdr>
              <w:ind w:right="-115"/>
              <w:rPr>
                <w:b/>
                <w:sz w:val="22"/>
                <w:szCs w:val="22"/>
              </w:rPr>
            </w:pPr>
          </w:p>
        </w:tc>
      </w:tr>
      <w:tr w:rsidR="00000D39" w14:paraId="6B966807" w14:textId="77777777">
        <w:trPr>
          <w:trHeight w:val="110"/>
        </w:trPr>
        <w:tc>
          <w:tcPr>
            <w:tcW w:w="8488" w:type="dxa"/>
            <w:gridSpan w:val="9"/>
          </w:tcPr>
          <w:p w14:paraId="7FD36353" w14:textId="77777777" w:rsidR="00000D39" w:rsidRDefault="00000D39" w:rsidP="00000D39">
            <w:pPr>
              <w:pBdr>
                <w:top w:val="single" w:sz="4" w:space="1" w:color="000000"/>
                <w:left w:val="single" w:sz="4" w:space="4" w:color="000000"/>
                <w:right w:val="single" w:sz="4" w:space="0" w:color="000000"/>
              </w:pBdr>
              <w:ind w:right="-115"/>
              <w:rPr>
                <w:b/>
                <w:sz w:val="22"/>
                <w:szCs w:val="22"/>
              </w:rPr>
            </w:pPr>
          </w:p>
        </w:tc>
      </w:tr>
      <w:tr w:rsidR="00000D39" w14:paraId="44824934" w14:textId="77777777">
        <w:trPr>
          <w:trHeight w:val="334"/>
        </w:trPr>
        <w:tc>
          <w:tcPr>
            <w:tcW w:w="4612" w:type="dxa"/>
            <w:gridSpan w:val="4"/>
            <w:vAlign w:val="center"/>
          </w:tcPr>
          <w:p w14:paraId="0421BE92" w14:textId="77777777" w:rsidR="00000D39" w:rsidRDefault="00000D39" w:rsidP="00000D39">
            <w:pPr>
              <w:pBdr>
                <w:top w:val="nil"/>
                <w:left w:val="nil"/>
                <w:bottom w:val="nil"/>
                <w:right w:val="nil"/>
                <w:between w:val="nil"/>
              </w:pBdr>
              <w:jc w:val="center"/>
              <w:rPr>
                <w:b/>
                <w:color w:val="000000"/>
                <w:sz w:val="22"/>
                <w:szCs w:val="22"/>
              </w:rPr>
            </w:pPr>
            <w:r>
              <w:rPr>
                <w:b/>
                <w:color w:val="000000"/>
                <w:sz w:val="22"/>
                <w:szCs w:val="22"/>
              </w:rPr>
              <w:t>COMPROMISOS:</w:t>
            </w:r>
          </w:p>
        </w:tc>
        <w:tc>
          <w:tcPr>
            <w:tcW w:w="2486" w:type="dxa"/>
            <w:gridSpan w:val="4"/>
            <w:vAlign w:val="center"/>
          </w:tcPr>
          <w:p w14:paraId="1D989B6B" w14:textId="77777777" w:rsidR="00000D39" w:rsidRDefault="00000D39" w:rsidP="00000D39">
            <w:pPr>
              <w:pBdr>
                <w:top w:val="nil"/>
                <w:left w:val="nil"/>
                <w:bottom w:val="nil"/>
                <w:right w:val="nil"/>
                <w:between w:val="nil"/>
              </w:pBdr>
              <w:jc w:val="center"/>
              <w:rPr>
                <w:b/>
                <w:color w:val="000000"/>
                <w:sz w:val="22"/>
                <w:szCs w:val="22"/>
              </w:rPr>
            </w:pPr>
            <w:r>
              <w:rPr>
                <w:b/>
                <w:color w:val="000000"/>
                <w:sz w:val="22"/>
                <w:szCs w:val="22"/>
              </w:rPr>
              <w:t>RESPONSABLES:</w:t>
            </w:r>
          </w:p>
        </w:tc>
        <w:tc>
          <w:tcPr>
            <w:tcW w:w="1390" w:type="dxa"/>
            <w:vAlign w:val="center"/>
          </w:tcPr>
          <w:p w14:paraId="028F0A14" w14:textId="77777777" w:rsidR="00000D39" w:rsidRDefault="00000D39" w:rsidP="00000D39">
            <w:pPr>
              <w:pBdr>
                <w:top w:val="nil"/>
                <w:left w:val="nil"/>
                <w:bottom w:val="nil"/>
                <w:right w:val="nil"/>
                <w:between w:val="nil"/>
              </w:pBdr>
              <w:jc w:val="center"/>
              <w:rPr>
                <w:b/>
                <w:color w:val="000000"/>
                <w:sz w:val="22"/>
                <w:szCs w:val="22"/>
              </w:rPr>
            </w:pPr>
            <w:r>
              <w:rPr>
                <w:b/>
                <w:color w:val="000000"/>
                <w:sz w:val="22"/>
                <w:szCs w:val="22"/>
              </w:rPr>
              <w:t>FECHA:</w:t>
            </w:r>
          </w:p>
        </w:tc>
      </w:tr>
      <w:tr w:rsidR="00000D39" w14:paraId="07435D81" w14:textId="77777777">
        <w:trPr>
          <w:trHeight w:val="334"/>
        </w:trPr>
        <w:tc>
          <w:tcPr>
            <w:tcW w:w="4612" w:type="dxa"/>
            <w:gridSpan w:val="4"/>
          </w:tcPr>
          <w:p w14:paraId="553F229D" w14:textId="4414C5D1" w:rsidR="00000D39" w:rsidRDefault="00000D39" w:rsidP="00000D39">
            <w:pPr>
              <w:jc w:val="center"/>
            </w:pPr>
            <w:r>
              <w:rPr>
                <w:rFonts w:ascii="Century Gothic" w:hAnsi="Century Gothic" w:cs="Century Gothic"/>
                <w:sz w:val="20"/>
                <w:szCs w:val="20"/>
              </w:rPr>
              <w:t>1. El Dr. Jhon Edwin Meneses Castaño se compromete a:    a) Documentar hallazgos clínicos específicos y objetivos en cada consulta de incapacidad.    b) Evitar notas copy-paste; cada valoración debe reflejar el estado actual del paciente</w:t>
            </w:r>
            <w:r w:rsidR="0023247F">
              <w:rPr>
                <w:rFonts w:ascii="Century Gothic" w:hAnsi="Century Gothic" w:cs="Century Gothic"/>
                <w:sz w:val="20"/>
                <w:szCs w:val="20"/>
              </w:rPr>
              <w:t xml:space="preserve"> INDICANDO MOTIVOS DE INCAPACIDAD</w:t>
            </w:r>
            <w:r>
              <w:rPr>
                <w:rFonts w:ascii="Century Gothic" w:hAnsi="Century Gothic" w:cs="Century Gothic"/>
                <w:sz w:val="20"/>
                <w:szCs w:val="20"/>
              </w:rPr>
              <w:t xml:space="preserve">   c) Evaluar y documentar la capacidad funcional residual del paciente en cada prórroga.    d) Verificar alertas IPSA y antecedentes de reintegro antes de emitir prorrogas.    e) Gestionar activamente interconsultas pendientes y no prorrogar indefinidamente </w:t>
            </w:r>
            <w:r>
              <w:rPr>
                <w:rFonts w:ascii="Century Gothic" w:hAnsi="Century Gothic" w:cs="Century Gothic"/>
                <w:sz w:val="20"/>
                <w:szCs w:val="20"/>
              </w:rPr>
              <w:lastRenderedPageBreak/>
              <w:t>en espera de especialista.    f) Aplicar la doctrina de dolor crónico: orientar hacia reincorporación temprana con recomendaciones laborales cuando no exista contraindicación.    g) Cuando PCL ≥50%, orientar hacia proceso de pensión de invalidez en lugar de prorrogas indefinidas. 2. Líder de Calidad realizará seguimiento de cumplimiento en próxima auditoría.</w:t>
            </w:r>
          </w:p>
        </w:tc>
        <w:tc>
          <w:tcPr>
            <w:tcW w:w="2486" w:type="dxa"/>
            <w:gridSpan w:val="4"/>
          </w:tcPr>
          <w:p w14:paraId="721FBFE4" w14:textId="1A1D98E9" w:rsidR="00000D39" w:rsidRDefault="00000D39" w:rsidP="00000D39">
            <w:pPr>
              <w:jc w:val="center"/>
            </w:pPr>
            <w:r>
              <w:rPr>
                <w:rFonts w:ascii="Century Gothic" w:hAnsi="Century Gothic" w:cs="Century Gothic"/>
                <w:sz w:val="20"/>
                <w:szCs w:val="20"/>
              </w:rPr>
              <w:lastRenderedPageBreak/>
              <w:t>Jhon Edwin Meneses Castaño</w:t>
            </w:r>
          </w:p>
        </w:tc>
        <w:tc>
          <w:tcPr>
            <w:tcW w:w="1390" w:type="dxa"/>
          </w:tcPr>
          <w:p w14:paraId="47118C62" w14:textId="48349FDE" w:rsidR="00000D39" w:rsidRDefault="00000D39" w:rsidP="00000D39">
            <w:pPr>
              <w:jc w:val="center"/>
            </w:pPr>
            <w:r>
              <w:rPr>
                <w:rFonts w:ascii="Century Gothic" w:hAnsi="Century Gothic" w:cs="Century Gothic"/>
                <w:sz w:val="20"/>
                <w:szCs w:val="20"/>
              </w:rPr>
              <w:t>Recurrente</w:t>
            </w:r>
          </w:p>
        </w:tc>
      </w:tr>
    </w:tbl>
    <w:p w14:paraId="3E66BF6E" w14:textId="77777777" w:rsidR="00F905DC" w:rsidRDefault="00F905DC">
      <w:pPr>
        <w:pBdr>
          <w:top w:val="nil"/>
          <w:left w:val="nil"/>
          <w:bottom w:val="nil"/>
          <w:right w:val="nil"/>
          <w:between w:val="nil"/>
        </w:pBdr>
        <w:ind w:left="720"/>
        <w:rPr>
          <w:b/>
          <w:color w:val="000000"/>
        </w:rPr>
      </w:pPr>
    </w:p>
    <w:p w14:paraId="06CAC731" w14:textId="77777777" w:rsidR="00F905DC" w:rsidRDefault="00F905DC">
      <w:pPr>
        <w:rPr>
          <w:b/>
        </w:rPr>
      </w:pPr>
    </w:p>
    <w:p w14:paraId="2C484951" w14:textId="77777777" w:rsidR="00F905DC" w:rsidRDefault="00F905DC">
      <w:pPr>
        <w:rPr>
          <w:b/>
        </w:rPr>
      </w:pPr>
    </w:p>
    <w:p w14:paraId="6C3169D6" w14:textId="77777777" w:rsidR="00F905DC" w:rsidRDefault="00F905DC">
      <w:pPr>
        <w:pBdr>
          <w:top w:val="nil"/>
          <w:left w:val="nil"/>
          <w:bottom w:val="nil"/>
          <w:right w:val="nil"/>
          <w:between w:val="nil"/>
        </w:pBdr>
        <w:ind w:left="720"/>
        <w:rPr>
          <w:b/>
          <w:color w:val="000000"/>
        </w:rPr>
      </w:pPr>
    </w:p>
    <w:p w14:paraId="3EB62689" w14:textId="77777777" w:rsidR="00F905DC" w:rsidRPr="00D91A1B" w:rsidRDefault="00F905DC">
      <w:pPr>
        <w:pBdr>
          <w:top w:val="nil"/>
          <w:left w:val="nil"/>
          <w:bottom w:val="nil"/>
          <w:right w:val="nil"/>
          <w:between w:val="nil"/>
        </w:pBdr>
        <w:ind w:left="720"/>
        <w:rPr>
          <w:b/>
          <w:color w:val="000000"/>
          <w:sz w:val="22"/>
          <w:szCs w:val="22"/>
        </w:rPr>
      </w:pPr>
    </w:p>
    <w:p w14:paraId="6CF12FE8" w14:textId="77777777" w:rsidR="00F905DC" w:rsidRDefault="00000000">
      <w:pPr>
        <w:numPr>
          <w:ilvl w:val="0"/>
          <w:numId w:val="1"/>
        </w:numPr>
        <w:pBdr>
          <w:top w:val="nil"/>
          <w:left w:val="nil"/>
          <w:bottom w:val="nil"/>
          <w:right w:val="nil"/>
          <w:between w:val="nil"/>
        </w:pBdr>
        <w:rPr>
          <w:b/>
          <w:color w:val="000000"/>
        </w:rPr>
      </w:pPr>
      <w:r w:rsidRPr="00D91A1B">
        <w:rPr>
          <w:b/>
          <w:color w:val="000000"/>
          <w:sz w:val="22"/>
          <w:szCs w:val="22"/>
        </w:rPr>
        <w:t>CONTROL DE CAMBIOS</w:t>
      </w:r>
    </w:p>
    <w:p w14:paraId="7BC7C4D3" w14:textId="77777777" w:rsidR="00F905DC" w:rsidRDefault="00F905DC">
      <w:pPr>
        <w:rPr>
          <w:b/>
        </w:rPr>
      </w:pPr>
    </w:p>
    <w:p w14:paraId="39D6C212" w14:textId="77777777" w:rsidR="00F905DC" w:rsidRDefault="00F905DC">
      <w:pPr>
        <w:rPr>
          <w:b/>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3"/>
        <w:gridCol w:w="2839"/>
        <w:gridCol w:w="2840"/>
      </w:tblGrid>
      <w:tr w:rsidR="00D91A1B" w:rsidRPr="007C7EEB" w14:paraId="270FACEA" w14:textId="77777777" w:rsidTr="000F58A0">
        <w:trPr>
          <w:trHeight w:val="574"/>
          <w:jc w:val="center"/>
        </w:trPr>
        <w:tc>
          <w:tcPr>
            <w:tcW w:w="288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7EE00A45" w14:textId="77777777" w:rsidR="00D91A1B" w:rsidRPr="007C7EEB" w:rsidRDefault="00D91A1B" w:rsidP="000F58A0">
            <w:pPr>
              <w:jc w:val="center"/>
              <w:rPr>
                <w:bCs/>
                <w:sz w:val="18"/>
                <w:szCs w:val="18"/>
              </w:rPr>
            </w:pPr>
            <w:bookmarkStart w:id="0" w:name="_30j0zll" w:colFirst="0" w:colLast="0"/>
            <w:bookmarkEnd w:id="0"/>
            <w:r w:rsidRPr="007C7EEB">
              <w:rPr>
                <w:bCs/>
                <w:sz w:val="18"/>
                <w:szCs w:val="18"/>
              </w:rPr>
              <w:t>Elizabeth Correa González</w:t>
            </w:r>
          </w:p>
          <w:p w14:paraId="73F7022F" w14:textId="77777777" w:rsidR="00D91A1B" w:rsidRPr="007C7EEB" w:rsidRDefault="00D91A1B" w:rsidP="000F58A0">
            <w:pPr>
              <w:jc w:val="center"/>
              <w:rPr>
                <w:b/>
                <w:sz w:val="18"/>
                <w:szCs w:val="18"/>
              </w:rPr>
            </w:pPr>
            <w:r w:rsidRPr="007C7EEB">
              <w:rPr>
                <w:b/>
                <w:bCs/>
                <w:sz w:val="18"/>
                <w:szCs w:val="18"/>
              </w:rPr>
              <w:t>Gestión integral de calidad</w:t>
            </w:r>
          </w:p>
          <w:p w14:paraId="661BAE7F" w14:textId="77777777" w:rsidR="00D91A1B" w:rsidRPr="007C7EEB" w:rsidRDefault="00D91A1B" w:rsidP="000F58A0">
            <w:pPr>
              <w:jc w:val="center"/>
              <w:rPr>
                <w:b/>
                <w:sz w:val="18"/>
                <w:szCs w:val="18"/>
              </w:rPr>
            </w:pPr>
          </w:p>
        </w:tc>
        <w:tc>
          <w:tcPr>
            <w:tcW w:w="2940" w:type="dxa"/>
            <w:tcBorders>
              <w:top w:val="single" w:sz="6" w:space="0" w:color="auto"/>
              <w:left w:val="single" w:sz="6" w:space="0" w:color="auto"/>
              <w:bottom w:val="single" w:sz="6" w:space="0" w:color="auto"/>
              <w:right w:val="single" w:sz="6" w:space="0" w:color="auto"/>
            </w:tcBorders>
            <w:shd w:val="clear" w:color="auto" w:fill="FFFFFF"/>
            <w:hideMark/>
          </w:tcPr>
          <w:p w14:paraId="4F022DDB" w14:textId="77777777" w:rsidR="00D91A1B" w:rsidRPr="007C7EEB" w:rsidRDefault="00D91A1B" w:rsidP="000F58A0">
            <w:pPr>
              <w:jc w:val="center"/>
              <w:rPr>
                <w:b/>
                <w:sz w:val="18"/>
                <w:szCs w:val="18"/>
              </w:rPr>
            </w:pPr>
          </w:p>
          <w:p w14:paraId="21A5FDBB" w14:textId="77777777" w:rsidR="00D91A1B" w:rsidRPr="007C7EEB" w:rsidRDefault="00D91A1B" w:rsidP="000F58A0">
            <w:pPr>
              <w:jc w:val="center"/>
              <w:rPr>
                <w:b/>
                <w:sz w:val="18"/>
                <w:szCs w:val="18"/>
              </w:rPr>
            </w:pPr>
          </w:p>
          <w:p w14:paraId="7803BA3C" w14:textId="77777777" w:rsidR="00D91A1B" w:rsidRPr="007C7EEB" w:rsidRDefault="00D91A1B" w:rsidP="000F58A0">
            <w:pPr>
              <w:jc w:val="center"/>
              <w:rPr>
                <w:bCs/>
                <w:sz w:val="18"/>
                <w:szCs w:val="18"/>
              </w:rPr>
            </w:pPr>
            <w:r w:rsidRPr="007C7EEB">
              <w:rPr>
                <w:bCs/>
                <w:sz w:val="18"/>
                <w:szCs w:val="18"/>
              </w:rPr>
              <w:t>Martha Catalina Cardona Arango</w:t>
            </w:r>
          </w:p>
          <w:p w14:paraId="420C7EB1" w14:textId="77777777" w:rsidR="00D91A1B" w:rsidRPr="007C7EEB" w:rsidRDefault="00D91A1B" w:rsidP="000F58A0">
            <w:pPr>
              <w:jc w:val="center"/>
              <w:rPr>
                <w:b/>
                <w:sz w:val="18"/>
                <w:szCs w:val="18"/>
              </w:rPr>
            </w:pPr>
            <w:r w:rsidRPr="007C7EEB">
              <w:rPr>
                <w:b/>
                <w:bCs/>
                <w:sz w:val="18"/>
                <w:szCs w:val="18"/>
              </w:rPr>
              <w:t>Dirección general</w:t>
            </w:r>
          </w:p>
          <w:p w14:paraId="74651F8B" w14:textId="77777777" w:rsidR="00D91A1B" w:rsidRPr="007C7EEB" w:rsidRDefault="00D91A1B" w:rsidP="000F58A0">
            <w:pPr>
              <w:jc w:val="center"/>
              <w:rPr>
                <w:b/>
                <w:sz w:val="18"/>
                <w:szCs w:val="18"/>
              </w:rPr>
            </w:pPr>
          </w:p>
        </w:tc>
        <w:tc>
          <w:tcPr>
            <w:tcW w:w="294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66781021" w14:textId="77777777" w:rsidR="00D91A1B" w:rsidRPr="007C7EEB" w:rsidRDefault="00D91A1B" w:rsidP="000F58A0">
            <w:pPr>
              <w:jc w:val="center"/>
              <w:rPr>
                <w:b/>
                <w:sz w:val="18"/>
                <w:szCs w:val="18"/>
              </w:rPr>
            </w:pPr>
            <w:r w:rsidRPr="007C7EEB">
              <w:rPr>
                <w:bCs/>
                <w:sz w:val="18"/>
                <w:szCs w:val="18"/>
              </w:rPr>
              <w:t>Martha Catalina Cardona Arango</w:t>
            </w:r>
            <w:r w:rsidRPr="007C7EEB">
              <w:rPr>
                <w:b/>
                <w:sz w:val="18"/>
                <w:szCs w:val="18"/>
              </w:rPr>
              <w:t> </w:t>
            </w:r>
            <w:r w:rsidRPr="007C7EEB">
              <w:rPr>
                <w:b/>
                <w:sz w:val="18"/>
                <w:szCs w:val="18"/>
              </w:rPr>
              <w:br/>
            </w:r>
            <w:r w:rsidRPr="007C7EEB">
              <w:rPr>
                <w:b/>
                <w:bCs/>
                <w:sz w:val="18"/>
                <w:szCs w:val="18"/>
              </w:rPr>
              <w:t>Dirección general</w:t>
            </w:r>
          </w:p>
        </w:tc>
      </w:tr>
      <w:tr w:rsidR="00D91A1B" w:rsidRPr="007C7EEB" w14:paraId="7784A2E7" w14:textId="77777777" w:rsidTr="000F58A0">
        <w:trPr>
          <w:trHeight w:val="106"/>
          <w:jc w:val="center"/>
        </w:trPr>
        <w:tc>
          <w:tcPr>
            <w:tcW w:w="288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1F694834" w14:textId="77777777" w:rsidR="00D91A1B" w:rsidRPr="007C7EEB" w:rsidRDefault="00D91A1B" w:rsidP="000F58A0">
            <w:pPr>
              <w:jc w:val="center"/>
              <w:rPr>
                <w:b/>
                <w:sz w:val="18"/>
                <w:szCs w:val="18"/>
              </w:rPr>
            </w:pPr>
            <w:r w:rsidRPr="007C7EEB">
              <w:rPr>
                <w:b/>
                <w:bCs/>
                <w:sz w:val="18"/>
                <w:szCs w:val="18"/>
              </w:rPr>
              <w:t>ELABORA</w:t>
            </w:r>
          </w:p>
        </w:tc>
        <w:tc>
          <w:tcPr>
            <w:tcW w:w="2940" w:type="dxa"/>
            <w:tcBorders>
              <w:top w:val="single" w:sz="6" w:space="0" w:color="auto"/>
              <w:left w:val="single" w:sz="6" w:space="0" w:color="auto"/>
              <w:bottom w:val="single" w:sz="6" w:space="0" w:color="auto"/>
              <w:right w:val="single" w:sz="6" w:space="0" w:color="auto"/>
            </w:tcBorders>
            <w:shd w:val="clear" w:color="auto" w:fill="FFFFFF"/>
            <w:hideMark/>
          </w:tcPr>
          <w:p w14:paraId="2503B966" w14:textId="77777777" w:rsidR="00D91A1B" w:rsidRPr="007C7EEB" w:rsidRDefault="00D91A1B" w:rsidP="000F58A0">
            <w:pPr>
              <w:jc w:val="center"/>
              <w:rPr>
                <w:b/>
                <w:sz w:val="18"/>
                <w:szCs w:val="18"/>
              </w:rPr>
            </w:pPr>
            <w:r w:rsidRPr="007C7EEB">
              <w:rPr>
                <w:b/>
                <w:bCs/>
                <w:sz w:val="18"/>
                <w:szCs w:val="18"/>
              </w:rPr>
              <w:t>REVISA</w:t>
            </w:r>
          </w:p>
        </w:tc>
        <w:tc>
          <w:tcPr>
            <w:tcW w:w="294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1AEC54F9" w14:textId="77777777" w:rsidR="00D91A1B" w:rsidRPr="007C7EEB" w:rsidRDefault="00D91A1B" w:rsidP="000F58A0">
            <w:pPr>
              <w:jc w:val="center"/>
              <w:rPr>
                <w:b/>
                <w:sz w:val="18"/>
                <w:szCs w:val="18"/>
              </w:rPr>
            </w:pPr>
            <w:r w:rsidRPr="007C7EEB">
              <w:rPr>
                <w:b/>
                <w:bCs/>
                <w:sz w:val="18"/>
                <w:szCs w:val="18"/>
              </w:rPr>
              <w:t>APRUEBA</w:t>
            </w:r>
          </w:p>
        </w:tc>
      </w:tr>
    </w:tbl>
    <w:p w14:paraId="366A7EF1" w14:textId="77777777" w:rsidR="00F905DC" w:rsidRDefault="00F905DC"/>
    <w:p w14:paraId="2E94A351" w14:textId="77777777" w:rsidR="00F905DC" w:rsidRDefault="00F905DC"/>
    <w:p w14:paraId="174A2402" w14:textId="77777777" w:rsidR="00F905DC" w:rsidRDefault="00F905DC"/>
    <w:p w14:paraId="12542271" w14:textId="77777777" w:rsidR="00F905DC" w:rsidRDefault="00F905DC"/>
    <w:p w14:paraId="40BA07FE" w14:textId="77777777" w:rsidR="00F905DC" w:rsidRDefault="00F905DC"/>
    <w:p w14:paraId="3BD164EE" w14:textId="77777777" w:rsidR="00F905DC" w:rsidRDefault="00F905DC"/>
    <w:sectPr w:rsidR="00F905DC">
      <w:headerReference w:type="even" r:id="rId11"/>
      <w:headerReference w:type="default" r:id="rId12"/>
      <w:footerReference w:type="even" r:id="rId13"/>
      <w:footerReference w:type="default" r:id="rId14"/>
      <w:headerReference w:type="first" r:id="rId15"/>
      <w:footerReference w:type="first" r:id="rId16"/>
      <w:pgSz w:w="11900" w:h="16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6F6D9" w14:textId="77777777" w:rsidR="002D1729" w:rsidRDefault="002D1729">
      <w:r>
        <w:separator/>
      </w:r>
    </w:p>
  </w:endnote>
  <w:endnote w:type="continuationSeparator" w:id="0">
    <w:p w14:paraId="057D4193" w14:textId="77777777" w:rsidR="002D1729" w:rsidRDefault="002D1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61C1" w14:textId="77777777" w:rsidR="00000D39" w:rsidRDefault="00000D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F1AA" w14:textId="77777777" w:rsidR="00F905DC" w:rsidRDefault="00F905DC">
    <w:pPr>
      <w:pBdr>
        <w:top w:val="nil"/>
        <w:left w:val="nil"/>
        <w:bottom w:val="nil"/>
        <w:right w:val="nil"/>
        <w:between w:val="nil"/>
      </w:pBdr>
      <w:tabs>
        <w:tab w:val="center" w:pos="4419"/>
        <w:tab w:val="right" w:pos="8838"/>
      </w:tabs>
      <w:rPr>
        <w:color w:val="000000"/>
      </w:rPr>
    </w:pPr>
  </w:p>
  <w:p w14:paraId="497AD342" w14:textId="77777777" w:rsidR="00F905DC" w:rsidRDefault="00F905DC">
    <w:pPr>
      <w:pBdr>
        <w:top w:val="nil"/>
        <w:left w:val="nil"/>
        <w:bottom w:val="nil"/>
        <w:right w:val="nil"/>
        <w:between w:val="nil"/>
      </w:pBdr>
      <w:tabs>
        <w:tab w:val="center" w:pos="4419"/>
        <w:tab w:val="right" w:pos="8838"/>
      </w:tabs>
      <w:rPr>
        <w:color w:val="000000"/>
      </w:rPr>
    </w:pPr>
  </w:p>
  <w:p w14:paraId="08077647" w14:textId="77777777" w:rsidR="00F905DC" w:rsidRDefault="00F905DC">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0E0D" w14:textId="77777777" w:rsidR="00000D39" w:rsidRDefault="00000D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DA49C" w14:textId="77777777" w:rsidR="002D1729" w:rsidRDefault="002D1729">
      <w:r>
        <w:separator/>
      </w:r>
    </w:p>
  </w:footnote>
  <w:footnote w:type="continuationSeparator" w:id="0">
    <w:p w14:paraId="1A1E610F" w14:textId="77777777" w:rsidR="002D1729" w:rsidRDefault="002D1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3B9A" w14:textId="77777777" w:rsidR="00000D39" w:rsidRDefault="00000D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6E54" w14:textId="77777777" w:rsidR="00F905DC" w:rsidRDefault="004540B0">
    <w:pPr>
      <w:widowControl w:val="0"/>
      <w:pBdr>
        <w:top w:val="nil"/>
        <w:left w:val="nil"/>
        <w:bottom w:val="nil"/>
        <w:right w:val="nil"/>
        <w:between w:val="nil"/>
      </w:pBdr>
      <w:spacing w:line="276" w:lineRule="auto"/>
    </w:pPr>
    <w:r>
      <w:rPr>
        <w:noProof/>
      </w:rPr>
      <w:drawing>
        <wp:anchor distT="0" distB="0" distL="114300" distR="114300" simplePos="0" relativeHeight="251662336" behindDoc="0" locked="0" layoutInCell="1" allowOverlap="1" wp14:anchorId="29CD7AEE" wp14:editId="4AF1B94D">
          <wp:simplePos x="0" y="0"/>
          <wp:positionH relativeFrom="page">
            <wp:posOffset>-73025</wp:posOffset>
          </wp:positionH>
          <wp:positionV relativeFrom="paragraph">
            <wp:posOffset>-562610</wp:posOffset>
          </wp:positionV>
          <wp:extent cx="7724775" cy="314325"/>
          <wp:effectExtent l="0" t="0" r="9525" b="9525"/>
          <wp:wrapSquare wrapText="bothSides"/>
          <wp:docPr id="1617336104" name="Imagen 161733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flipV="1">
                    <a:off x="0" y="0"/>
                    <a:ext cx="7724775" cy="314325"/>
                  </a:xfrm>
                  <a:prstGeom prst="rect">
                    <a:avLst/>
                  </a:prstGeom>
                </pic:spPr>
              </pic:pic>
            </a:graphicData>
          </a:graphic>
          <wp14:sizeRelH relativeFrom="margin">
            <wp14:pctWidth>0</wp14:pctWidth>
          </wp14:sizeRelH>
          <wp14:sizeRelV relativeFrom="margin">
            <wp14:pctHeight>0</wp14:pctHeight>
          </wp14:sizeRelV>
        </wp:anchor>
      </w:drawing>
    </w:r>
  </w:p>
  <w:tbl>
    <w:tblPr>
      <w:tblStyle w:val="a1"/>
      <w:tblW w:w="101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4536"/>
      <w:gridCol w:w="2207"/>
    </w:tblGrid>
    <w:tr w:rsidR="00F905DC" w14:paraId="62EB82EE" w14:textId="77777777" w:rsidTr="00F23D91">
      <w:trPr>
        <w:trHeight w:val="699"/>
        <w:jc w:val="center"/>
      </w:trPr>
      <w:tc>
        <w:tcPr>
          <w:tcW w:w="3397" w:type="dxa"/>
          <w:tcBorders>
            <w:top w:val="single" w:sz="4" w:space="0" w:color="A5A5A5"/>
            <w:left w:val="single" w:sz="4" w:space="0" w:color="A5A5A5"/>
            <w:bottom w:val="single" w:sz="4" w:space="0" w:color="A5A5A5"/>
            <w:right w:val="single" w:sz="4" w:space="0" w:color="A5A5A5"/>
          </w:tcBorders>
        </w:tcPr>
        <w:p w14:paraId="52B460CF" w14:textId="77777777" w:rsidR="00F23D91" w:rsidRDefault="00F23D91">
          <w:pPr>
            <w:pBdr>
              <w:top w:val="nil"/>
              <w:left w:val="nil"/>
              <w:bottom w:val="nil"/>
              <w:right w:val="nil"/>
              <w:between w:val="nil"/>
            </w:pBdr>
            <w:tabs>
              <w:tab w:val="center" w:pos="4419"/>
              <w:tab w:val="right" w:pos="8838"/>
            </w:tabs>
            <w:rPr>
              <w:noProof/>
            </w:rPr>
          </w:pPr>
          <w:r>
            <w:rPr>
              <w:noProof/>
            </w:rPr>
            <w:t xml:space="preserve">      </w:t>
          </w:r>
        </w:p>
        <w:p w14:paraId="6CF2CC4C" w14:textId="77777777" w:rsidR="00F905DC" w:rsidRDefault="00F23D91">
          <w:pPr>
            <w:pBdr>
              <w:top w:val="nil"/>
              <w:left w:val="nil"/>
              <w:bottom w:val="nil"/>
              <w:right w:val="nil"/>
              <w:between w:val="nil"/>
            </w:pBdr>
            <w:tabs>
              <w:tab w:val="center" w:pos="4419"/>
              <w:tab w:val="right" w:pos="8838"/>
            </w:tabs>
            <w:rPr>
              <w:b/>
              <w:color w:val="000000"/>
            </w:rPr>
          </w:pPr>
          <w:r>
            <w:rPr>
              <w:noProof/>
            </w:rPr>
            <w:t xml:space="preserve">       </w:t>
          </w:r>
          <w:r>
            <w:rPr>
              <w:noProof/>
            </w:rPr>
            <w:drawing>
              <wp:inline distT="0" distB="0" distL="0" distR="0" wp14:anchorId="365EABB2" wp14:editId="68ED94A4">
                <wp:extent cx="1581150" cy="409594"/>
                <wp:effectExtent l="0" t="0" r="0" b="9525"/>
                <wp:docPr id="6" name="Imagen 5">
                  <a:extLst xmlns:a="http://schemas.openxmlformats.org/drawingml/2006/main">
                    <a:ext uri="{FF2B5EF4-FFF2-40B4-BE49-F238E27FC236}">
                      <a16:creationId xmlns:a16="http://schemas.microsoft.com/office/drawing/2014/main" id="{0AE88BA6-5A73-4E73-8273-C4E07A11A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0AE88BA6-5A73-4E73-8273-C4E07A11A6B7}"/>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81150" cy="409594"/>
                        </a:xfrm>
                        <a:prstGeom prst="rect">
                          <a:avLst/>
                        </a:prstGeom>
                      </pic:spPr>
                    </pic:pic>
                  </a:graphicData>
                </a:graphic>
              </wp:inline>
            </w:drawing>
          </w:r>
        </w:p>
      </w:tc>
      <w:tc>
        <w:tcPr>
          <w:tcW w:w="4536" w:type="dxa"/>
          <w:tcBorders>
            <w:top w:val="single" w:sz="4" w:space="0" w:color="A5A5A5"/>
            <w:left w:val="single" w:sz="4" w:space="0" w:color="A5A5A5"/>
            <w:bottom w:val="single" w:sz="4" w:space="0" w:color="A5A5A5"/>
            <w:right w:val="single" w:sz="4" w:space="0" w:color="A5A5A5"/>
          </w:tcBorders>
          <w:vAlign w:val="center"/>
        </w:tcPr>
        <w:p w14:paraId="39947D6A" w14:textId="77777777" w:rsidR="00F905DC" w:rsidRDefault="00000000">
          <w:pPr>
            <w:jc w:val="center"/>
            <w:rPr>
              <w:b/>
              <w:smallCaps/>
              <w:color w:val="404040"/>
              <w:sz w:val="22"/>
              <w:szCs w:val="22"/>
            </w:rPr>
          </w:pPr>
          <w:r>
            <w:rPr>
              <w:b/>
              <w:smallCaps/>
              <w:color w:val="404040"/>
              <w:sz w:val="22"/>
              <w:szCs w:val="22"/>
            </w:rPr>
            <w:t>ACTA DE REUNION</w:t>
          </w:r>
        </w:p>
      </w:tc>
      <w:tc>
        <w:tcPr>
          <w:tcW w:w="2207" w:type="dxa"/>
          <w:tcBorders>
            <w:top w:val="single" w:sz="4" w:space="0" w:color="A5A5A5"/>
            <w:left w:val="single" w:sz="4" w:space="0" w:color="A5A5A5"/>
            <w:bottom w:val="single" w:sz="4" w:space="0" w:color="A5A5A5"/>
            <w:right w:val="single" w:sz="4" w:space="0" w:color="A5A5A5"/>
          </w:tcBorders>
        </w:tcPr>
        <w:p w14:paraId="109C2473" w14:textId="77777777" w:rsidR="00F905DC" w:rsidRDefault="00000000">
          <w:pPr>
            <w:pBdr>
              <w:top w:val="nil"/>
              <w:left w:val="nil"/>
              <w:bottom w:val="nil"/>
              <w:right w:val="nil"/>
              <w:between w:val="nil"/>
            </w:pBdr>
            <w:tabs>
              <w:tab w:val="center" w:pos="4419"/>
              <w:tab w:val="right" w:pos="8838"/>
            </w:tabs>
            <w:rPr>
              <w:b/>
              <w:color w:val="404040"/>
              <w:sz w:val="22"/>
              <w:szCs w:val="22"/>
            </w:rPr>
          </w:pPr>
          <w:r>
            <w:rPr>
              <w:b/>
              <w:color w:val="404040"/>
              <w:sz w:val="22"/>
              <w:szCs w:val="22"/>
            </w:rPr>
            <w:t>Código: FMT-GIC-012</w:t>
          </w:r>
        </w:p>
        <w:p w14:paraId="512F1A8E" w14:textId="77777777" w:rsidR="00F905DC" w:rsidRDefault="00000000">
          <w:pPr>
            <w:pBdr>
              <w:top w:val="nil"/>
              <w:left w:val="nil"/>
              <w:bottom w:val="nil"/>
              <w:right w:val="nil"/>
              <w:between w:val="nil"/>
            </w:pBdr>
            <w:tabs>
              <w:tab w:val="center" w:pos="4419"/>
              <w:tab w:val="right" w:pos="8838"/>
            </w:tabs>
            <w:rPr>
              <w:b/>
              <w:color w:val="404040"/>
              <w:sz w:val="22"/>
              <w:szCs w:val="22"/>
            </w:rPr>
          </w:pPr>
          <w:r>
            <w:rPr>
              <w:b/>
              <w:color w:val="404040"/>
              <w:sz w:val="22"/>
              <w:szCs w:val="22"/>
            </w:rPr>
            <w:t>Versión: 01</w:t>
          </w:r>
        </w:p>
        <w:p w14:paraId="171A9E11" w14:textId="77777777" w:rsidR="00F905DC" w:rsidRDefault="00000000">
          <w:pPr>
            <w:pBdr>
              <w:top w:val="nil"/>
              <w:left w:val="nil"/>
              <w:bottom w:val="nil"/>
              <w:right w:val="nil"/>
              <w:between w:val="nil"/>
            </w:pBdr>
            <w:tabs>
              <w:tab w:val="center" w:pos="4419"/>
              <w:tab w:val="right" w:pos="8838"/>
            </w:tabs>
            <w:rPr>
              <w:b/>
              <w:color w:val="000000"/>
              <w:sz w:val="22"/>
              <w:szCs w:val="22"/>
            </w:rPr>
          </w:pPr>
          <w:r>
            <w:rPr>
              <w:b/>
              <w:color w:val="404040"/>
              <w:sz w:val="22"/>
              <w:szCs w:val="22"/>
            </w:rPr>
            <w:t xml:space="preserve">Vigencia: </w:t>
          </w:r>
          <w:r w:rsidR="00D91A1B">
            <w:rPr>
              <w:b/>
              <w:color w:val="404040"/>
              <w:sz w:val="22"/>
              <w:szCs w:val="22"/>
            </w:rPr>
            <w:t>01</w:t>
          </w:r>
          <w:r>
            <w:rPr>
              <w:b/>
              <w:color w:val="404040"/>
              <w:sz w:val="22"/>
              <w:szCs w:val="22"/>
            </w:rPr>
            <w:t>/0</w:t>
          </w:r>
          <w:r w:rsidR="00D91A1B">
            <w:rPr>
              <w:b/>
              <w:color w:val="404040"/>
              <w:sz w:val="22"/>
              <w:szCs w:val="22"/>
            </w:rPr>
            <w:t>8</w:t>
          </w:r>
          <w:r>
            <w:rPr>
              <w:b/>
              <w:color w:val="404040"/>
              <w:sz w:val="22"/>
              <w:szCs w:val="22"/>
            </w:rPr>
            <w:t>/20</w:t>
          </w:r>
          <w:r w:rsidR="00D91A1B">
            <w:rPr>
              <w:b/>
              <w:color w:val="404040"/>
              <w:sz w:val="22"/>
              <w:szCs w:val="22"/>
            </w:rPr>
            <w:t>26</w:t>
          </w:r>
        </w:p>
        <w:p w14:paraId="732EBBE7" w14:textId="77777777" w:rsidR="00F905DC" w:rsidRDefault="00F905DC">
          <w:pPr>
            <w:pBdr>
              <w:top w:val="nil"/>
              <w:left w:val="nil"/>
              <w:bottom w:val="nil"/>
              <w:right w:val="nil"/>
              <w:between w:val="nil"/>
            </w:pBdr>
            <w:tabs>
              <w:tab w:val="center" w:pos="4419"/>
              <w:tab w:val="right" w:pos="8838"/>
            </w:tabs>
            <w:jc w:val="right"/>
            <w:rPr>
              <w:b/>
              <w:color w:val="000000"/>
              <w:sz w:val="22"/>
              <w:szCs w:val="22"/>
            </w:rPr>
          </w:pPr>
        </w:p>
      </w:tc>
    </w:tr>
  </w:tbl>
  <w:p w14:paraId="000AC19A" w14:textId="77777777" w:rsidR="00F905DC" w:rsidRDefault="00F905DC">
    <w:pPr>
      <w:pBdr>
        <w:top w:val="nil"/>
        <w:left w:val="nil"/>
        <w:bottom w:val="nil"/>
        <w:right w:val="nil"/>
        <w:between w:val="nil"/>
      </w:pBdr>
      <w:tabs>
        <w:tab w:val="center" w:pos="4419"/>
        <w:tab w:val="right" w:pos="8838"/>
      </w:tabs>
      <w:rPr>
        <w:color w:val="000000"/>
      </w:rPr>
    </w:pPr>
  </w:p>
  <w:p w14:paraId="37B1DBF4" w14:textId="77777777" w:rsidR="00F905DC" w:rsidRDefault="00F905DC">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AE6A" w14:textId="77777777" w:rsidR="00000D39" w:rsidRDefault="00000D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C04A1"/>
    <w:multiLevelType w:val="multilevel"/>
    <w:tmpl w:val="623E3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7219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5DC"/>
    <w:rsid w:val="00000D39"/>
    <w:rsid w:val="001A0ADF"/>
    <w:rsid w:val="0023247F"/>
    <w:rsid w:val="002D1729"/>
    <w:rsid w:val="003F474E"/>
    <w:rsid w:val="004540B0"/>
    <w:rsid w:val="005547D8"/>
    <w:rsid w:val="00652039"/>
    <w:rsid w:val="0067164F"/>
    <w:rsid w:val="007B4A49"/>
    <w:rsid w:val="00D91A1B"/>
    <w:rsid w:val="00DB0A8D"/>
    <w:rsid w:val="00DB7B00"/>
    <w:rsid w:val="00E44A96"/>
    <w:rsid w:val="00F23D91"/>
    <w:rsid w:val="00F905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7AAC3"/>
  <w15:docId w15:val="{C587D14F-ACE4-4FE9-8F92-8A6CD419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AR"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4540B0"/>
    <w:pPr>
      <w:tabs>
        <w:tab w:val="center" w:pos="4419"/>
        <w:tab w:val="right" w:pos="8838"/>
      </w:tabs>
    </w:pPr>
  </w:style>
  <w:style w:type="character" w:customStyle="1" w:styleId="EncabezadoCar">
    <w:name w:val="Encabezado Car"/>
    <w:basedOn w:val="Fuentedeprrafopredeter"/>
    <w:link w:val="Encabezado"/>
    <w:uiPriority w:val="99"/>
    <w:rsid w:val="004540B0"/>
  </w:style>
  <w:style w:type="paragraph" w:styleId="Piedepgina">
    <w:name w:val="footer"/>
    <w:basedOn w:val="Normal"/>
    <w:link w:val="PiedepginaCar"/>
    <w:uiPriority w:val="99"/>
    <w:unhideWhenUsed/>
    <w:rsid w:val="004540B0"/>
    <w:pPr>
      <w:tabs>
        <w:tab w:val="center" w:pos="4419"/>
        <w:tab w:val="right" w:pos="8838"/>
      </w:tabs>
    </w:pPr>
  </w:style>
  <w:style w:type="character" w:customStyle="1" w:styleId="PiedepginaCar">
    <w:name w:val="Pie de página Car"/>
    <w:basedOn w:val="Fuentedeprrafopredeter"/>
    <w:link w:val="Piedepgina"/>
    <w:uiPriority w:val="99"/>
    <w:rsid w:val="00454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5B595C-69D3-47B6-8331-1C1EDB02D428}">
  <we:reference id="WA200010453" version="1.0.0.1" store="Omex" storeType="OMEX"/>
  <we:alternateReferences>
    <we:reference id="WA200010453" version="1.0.0.1" store="WA200010453" storeType="OMEX"/>
  </we:alternateReferences>
  <we:properties>
    <we:property name="claude.fileId" value="&quot;b3274fb7-33b1-4f22-9991-cfa8f3d42f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e73a53-6257-4c6e-a3e6-1f4c0bb0efb0" xsi:nil="true"/>
    <lcf76f155ced4ddcb4097134ff3c332f xmlns="eb6c808f-f37f-44a6-9712-a1dfa90e826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C10B25BC9DBD42AF119BEE8BE691BC" ma:contentTypeVersion="17" ma:contentTypeDescription="Crear nuevo documento." ma:contentTypeScope="" ma:versionID="48356a95ae0e1a35929a614b218f4bff">
  <xsd:schema xmlns:xsd="http://www.w3.org/2001/XMLSchema" xmlns:xs="http://www.w3.org/2001/XMLSchema" xmlns:p="http://schemas.microsoft.com/office/2006/metadata/properties" xmlns:ns1="http://schemas.microsoft.com/sharepoint/v3" xmlns:ns2="eb6c808f-f37f-44a6-9712-a1dfa90e8263" xmlns:ns3="0fe73a53-6257-4c6e-a3e6-1f4c0bb0efb0" targetNamespace="http://schemas.microsoft.com/office/2006/metadata/properties" ma:root="true" ma:fieldsID="1c890a9f374bc520141120adf6c3f4aa" ns1:_="" ns2:_="" ns3:_="">
    <xsd:import namespace="http://schemas.microsoft.com/sharepoint/v3"/>
    <xsd:import namespace="eb6c808f-f37f-44a6-9712-a1dfa90e8263"/>
    <xsd:import namespace="0fe73a53-6257-4c6e-a3e6-1f4c0bb0efb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6c808f-f37f-44a6-9712-a1dfa90e826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73d5fb50-2b96-4802-95c0-199ab1f07b1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e73a53-6257-4c6e-a3e6-1f4c0bb0efb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a27b45b-b8d2-4e9b-9551-83814e599b7c}" ma:internalName="TaxCatchAll" ma:showField="CatchAllData" ma:web="0fe73a53-6257-4c6e-a3e6-1f4c0bb0efb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178D08-4564-41CC-95EC-CC531F3910B1}">
  <ds:schemaRefs>
    <ds:schemaRef ds:uri="http://schemas.microsoft.com/office/2006/metadata/properties"/>
    <ds:schemaRef ds:uri="http://schemas.microsoft.com/office/infopath/2007/PartnerControls"/>
    <ds:schemaRef ds:uri="0fe73a53-6257-4c6e-a3e6-1f4c0bb0efb0"/>
    <ds:schemaRef ds:uri="eb6c808f-f37f-44a6-9712-a1dfa90e8263"/>
    <ds:schemaRef ds:uri="http://schemas.microsoft.com/sharepoint/v3"/>
  </ds:schemaRefs>
</ds:datastoreItem>
</file>

<file path=customXml/itemProps2.xml><?xml version="1.0" encoding="utf-8"?>
<ds:datastoreItem xmlns:ds="http://schemas.openxmlformats.org/officeDocument/2006/customXml" ds:itemID="{B37A367C-8940-45ED-883F-1FC4F2ED3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6c808f-f37f-44a6-9712-a1dfa90e8263"/>
    <ds:schemaRef ds:uri="0fe73a53-6257-4c6e-a3e6-1f4c0bb0ef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81AC49-A58C-4F67-B028-121F6F293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1296</Words>
  <Characters>7508</Characters>
  <Application>Microsoft Office Word</Application>
  <DocSecurity>0</DocSecurity>
  <Lines>192</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Practicante Direccion</dc:creator>
  <cp:lastModifiedBy>Lucas Santiago Osorio Agudelo</cp:lastModifiedBy>
  <cp:revision>6</cp:revision>
  <dcterms:created xsi:type="dcterms:W3CDTF">2025-01-14T13:48:00Z</dcterms:created>
  <dcterms:modified xsi:type="dcterms:W3CDTF">2026-09-04T19:56:00Z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0x010100E9C10B25BC9DBD42AF119BEE8BE691BC</vt:lpwstr>
  </property>
</Properties>
</file>