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mrikuhhwzci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Relatório Técnico — Projeto de Ciência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o1dmvom6m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Pergunta Orientadora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é distribuído os gastos públicos entre áreas como saúde, educação e segurança ao longo do ano?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5x7uft7ei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do Projeto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objetivo deste projeto é analisar a distribuição de gastos públicos em diferentes áreas temáticas (como saúde, educação e segurança) com base em dados públicos de despesas. Através dessa análise, buscamos identificar padrões, tendências e possíveis variações mensais ou sazonais ao longo do ano.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5rwwm5o6w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Fonte de Dados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dados utilizados neste projeto são provenientes de arquivos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.csv</w:t>
      </w:r>
      <w:r w:rsidDel="00000000" w:rsidR="00000000" w:rsidRPr="00000000">
        <w:rPr>
          <w:rtl w:val="0"/>
        </w:rPr>
        <w:t xml:space="preserve"> contendo informações sobre a execução de despesas públicas obtidos no portal gov,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Execução da Despesa</w:t>
        </w:r>
      </w:hyperlink>
      <w:r w:rsidDel="00000000" w:rsidR="00000000" w:rsidRPr="00000000">
        <w:rPr>
          <w:rtl w:val="0"/>
        </w:rPr>
        <w:t xml:space="preserve">. Esses arquivos foram organizados em uma pasta no ambiente Colab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/content/content/</w:t>
      </w:r>
      <w:r w:rsidDel="00000000" w:rsidR="00000000" w:rsidRPr="00000000">
        <w:rPr>
          <w:rtl w:val="0"/>
        </w:rPr>
        <w:t xml:space="preserve">) e lidos automaticamente com o auxílio da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/>
      </w:pPr>
      <w:bookmarkStart w:colFirst="0" w:colLast="0" w:name="_c2dmjfo1jyy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Etapas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uofdmtid6l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Detecção de Codificação dos Arquivos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carregar os dados, foi utilizada 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chardet</w:t>
      </w:r>
      <w:r w:rsidDel="00000000" w:rsidR="00000000" w:rsidRPr="00000000">
        <w:rPr>
          <w:rtl w:val="0"/>
        </w:rPr>
        <w:t xml:space="preserve"> para detectar a codificação correta dos arquivos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.csv</w:t>
      </w:r>
      <w:r w:rsidDel="00000000" w:rsidR="00000000" w:rsidRPr="00000000">
        <w:rPr>
          <w:rtl w:val="0"/>
        </w:rPr>
        <w:t xml:space="preserve">, garantindo a leitura adequada, especialmente considerando o uso de acentos e caracteres especiais em português.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6b1t8xxzfj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Leitura e Consolidação dos Arquivos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Todos os arquivos CSV presentes no diretório foram lidos e armazenados em uma lista de DataFrames e consolidados em um só arquivo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cuz0a83a17l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Leitura de Arquivo Consolidado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arquivo chamado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execucao_despesa_consolidado.csv</w:t>
      </w:r>
      <w:r w:rsidDel="00000000" w:rsidR="00000000" w:rsidRPr="00000000">
        <w:rPr>
          <w:rtl w:val="0"/>
        </w:rPr>
        <w:t xml:space="preserve"> foi baixado para análise no Power BI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r03oke3tixw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ETL no Power BI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arquivo consolidado foi usado como fonte de dados no Power BI, sendo feito o tratamento do dados e criação de novas colunas para facilitar na criação de gráficos e filtros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6qh2ih4b984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Criação de medidas e gráficos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Depois de ter sido feito o ETL, foram criadas medidas do tipo, Total Valor Pago, </w:t>
      </w:r>
      <w:r w:rsidDel="00000000" w:rsidR="00000000" w:rsidRPr="00000000">
        <w:rPr>
          <w:b w:val="1"/>
          <w:rtl w:val="0"/>
        </w:rPr>
        <w:t xml:space="preserve">Total Valor Liquidado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Diferença</w:t>
      </w:r>
      <w:r w:rsidDel="00000000" w:rsidR="00000000" w:rsidRPr="00000000">
        <w:rPr>
          <w:rtl w:val="0"/>
        </w:rPr>
        <w:t xml:space="preserve">, que seria a diferença entre o Total Valor Pago e Total Valor Liquidado.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 as medidas prontas foi possível criar os seguintes gráficos,</w:t>
      </w:r>
      <w:r w:rsidDel="00000000" w:rsidR="00000000" w:rsidRPr="00000000">
        <w:rPr>
          <w:b w:val="1"/>
          <w:rtl w:val="0"/>
        </w:rPr>
        <w:t xml:space="preserve"> Top 10 Funções com Maior Valor Pago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Top 10 Órgãos Superiores com Maior Valor Pago</w:t>
      </w:r>
      <w:r w:rsidDel="00000000" w:rsidR="00000000" w:rsidRPr="00000000">
        <w:rPr>
          <w:rtl w:val="0"/>
        </w:rPr>
        <w:t xml:space="preserve">. Os gráficos foram filtrados para mostrar apenas as 10 Funções e 10 Órgãos Superiores com maior valor pago, através do filtro N Superior na função ou órgão superior e passando a referência da soma valor pago, ou seja, o total do valor pago.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ll67rbcsj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Ferramentas Utilizadas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(Google Colab)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Bibliotecas: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BI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taldatransparencia.gov.br/download-de-dados/despesas-execuca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