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TEO2-007: CAN Hardware Abstraction Compatibility</w:t>
      </w:r>
    </w:p>
    <w:p>
      <w:pPr>
        <w:pStyle w:val="Heading1"/>
      </w:pPr>
      <w:r>
        <w:t xml:space="preserve">Description</w:t>
      </w:r>
    </w:p>
    <w:p>
      <w:r>
        <w:t xml:space="preserve">This KPI evaluates whether the telehandler hardware abstraction layer successfully standardises communication with CAN-enabled machine sensors and actuators. The target requirement is a minimum compatibility rate of 90% across the evaluated CAN-derived machine interfaces.</w:t>
      </w:r>
    </w:p>
    <w:p>
      <w:r>
        <w:t xml:space="preserve">The validation focused on CAN-derived data exposed through ROS 2 topics. The /statusjoy topic was used as a discrete CAN-derived machine state signal, while /joints was used as continuous CAN-derived machine joint and position feedback. The /joint_states topic was also evaluated because it is the standard ROS representation generated from the CAN-derived /joints data.</w:t>
      </w:r>
    </w:p>
    <w:p>
      <w:r>
        <w:t xml:space="preserve">The /encoders topic was intentionally excluded from this KPI validation because it comes from external hardware attached to the machine and is not part of the machine CAN abstraction path.</w:t>
      </w:r>
    </w:p>
    <w:p>
      <w:pPr>
        <w:pStyle w:val="Heading1"/>
      </w:pPr>
      <w:r>
        <w:t xml:space="preserve">Methodology</w:t>
      </w:r>
    </w:p>
    <w:p>
      <w:r>
        <w:t xml:space="preserve">The hardware abstraction layer was validated by checking whether CAN-derived machine information is exposed through stable and standard ROS 2 interfaces. The validation was performed using the following topics:</w:t>
      </w:r>
    </w:p>
    <w:tbl>
      <w:tblPr>
        <w:tblStyle w:val="TableGrid"/>
        <w:tblW w:w="0" w:type="auto"/>
        <w:tblLook w:val="04A0" w:firstRow="1" w:lastRow="0" w:firstColumn="1" w:lastColumn="0" w:noHBand="0" w:noVBand="1"/>
      </w:tblPr>
      <w:tr>
        <w:tc>
          <w:tcPr>
            <w:tcW w:w="0" w:type="auto"/>
          </w:tcPr>
          <w:p>
            <w:r>
              <w:rPr>
                <w:b/>
              </w:rPr>
              <w:t xml:space="preserve">Interface</w:t>
            </w:r>
          </w:p>
        </w:tc>
        <w:tc>
          <w:tcPr>
            <w:tcW w:w="0" w:type="auto"/>
          </w:tcPr>
          <w:p>
            <w:r>
              <w:rPr>
                <w:b/>
              </w:rPr>
              <w:t xml:space="preserve">ROS topic</w:t>
            </w:r>
          </w:p>
        </w:tc>
        <w:tc>
          <w:tcPr>
            <w:tcW w:w="0" w:type="auto"/>
          </w:tcPr>
          <w:p>
            <w:r>
              <w:rPr>
                <w:b/>
              </w:rPr>
              <w:t xml:space="preserve">Purpose</w:t>
            </w:r>
          </w:p>
        </w:tc>
      </w:tr>
      <w:tr>
        <w:tc>
          <w:tcPr>
            <w:tcW w:w="0" w:type="auto"/>
          </w:tcPr>
          <w:p>
            <w:r>
              <w:t xml:space="preserve">Machine power and engine status</w:t>
            </w:r>
          </w:p>
        </w:tc>
        <w:tc>
          <w:tcPr>
            <w:tcW w:w="0" w:type="auto"/>
          </w:tcPr>
          <w:p>
            <w:r>
              <w:t xml:space="preserve">/statusjoy</w:t>
            </w:r>
          </w:p>
        </w:tc>
        <w:tc>
          <w:tcPr>
            <w:tcW w:w="0" w:type="auto"/>
          </w:tcPr>
          <w:p>
            <w:r>
              <w:t xml:space="preserve">Discrete CAN-derived state feedback</w:t>
            </w:r>
          </w:p>
        </w:tc>
      </w:tr>
      <w:tr>
        <w:tc>
          <w:tcPr>
            <w:tcW w:w="0" w:type="auto"/>
          </w:tcPr>
          <w:p>
            <w:r>
              <w:t xml:space="preserve">Machine joint and position feedback</w:t>
            </w:r>
          </w:p>
        </w:tc>
        <w:tc>
          <w:tcPr>
            <w:tcW w:w="0" w:type="auto"/>
          </w:tcPr>
          <w:p>
            <w:r>
              <w:t xml:space="preserve">/joints</w:t>
            </w:r>
          </w:p>
        </w:tc>
        <w:tc>
          <w:tcPr>
            <w:tcW w:w="0" w:type="auto"/>
          </w:tcPr>
          <w:p>
            <w:r>
              <w:t xml:space="preserve">Continuous CAN-derived machine feedback</w:t>
            </w:r>
          </w:p>
        </w:tc>
      </w:tr>
      <w:tr>
        <w:tc>
          <w:tcPr>
            <w:tcW w:w="0" w:type="auto"/>
          </w:tcPr>
          <w:p>
            <w:r>
              <w:t xml:space="preserve">Standard ROS joint representation</w:t>
            </w:r>
          </w:p>
        </w:tc>
        <w:tc>
          <w:tcPr>
            <w:tcW w:w="0" w:type="auto"/>
          </w:tcPr>
          <w:p>
            <w:r>
              <w:t xml:space="preserve">/joint_states</w:t>
            </w:r>
          </w:p>
        </w:tc>
        <w:tc>
          <w:tcPr>
            <w:tcW w:w="0" w:type="auto"/>
          </w:tcPr>
          <w:p>
            <w:r>
              <w:t xml:space="preserve">Remapped ROS representation generated from /joints</w:t>
            </w:r>
          </w:p>
        </w:tc>
      </w:tr>
    </w:tbl>
    <w:p>
      <w:r>
        <w:t xml:space="preserve">The compatibility rate was computed using a pass/fail matrix. Each check represents one required property of the CAN hardware abstraction layer, including topic availability, valid data values, update rate, communication continuity, numeric validity, and correct conversion into the standard ROS joint-state abstraction.</w:t>
      </w:r>
    </w:p>
    <w:p>
      <w:r>
        <w:t xml:space="preserve">compatibility_rate = passed_checks / total_checks * 100</w:t>
      </w:r>
    </w:p>
    <w:p>
      <w:r>
        <w:t xml:space="preserve">The KPI passes when the compatibility rate is greater than or equal to 90%.</w:t>
      </w:r>
    </w:p>
    <w:p>
      <w:r>
        <w:t xml:space="preserve">The /statusjoy topic was checked for availability, valid CAN-derived state values, update rate, and communication continuity. The /joints topic was checked for availability, channel count, finite numeric values, update rate, communication continuity, and observable feedback changes during operation. The /joint_states topic was checked for availability, expected joint names, finite numeric values, update rate, and communication continuity.</w:t>
      </w:r>
    </w:p>
    <w:p>
      <w:pPr>
        <w:pStyle w:val="Heading1"/>
      </w:pPr>
      <w:r>
        <w:t xml:space="preserve">Results</w:t>
      </w:r>
    </w:p>
    <w:p>
      <w:r>
        <w:t xml:space="preserve">The validation generated a compatibility matrix with 15 checks. All 15 checks passed, resulting in a measured compatibility rate of 100.0%, which exceeds the required 90% KPI threshold.</w:t>
      </w:r>
    </w:p>
    <w:tbl>
      <w:tblPr>
        <w:tblStyle w:val="TableGrid"/>
        <w:tblW w:w="0" w:type="auto"/>
        <w:tblLook w:val="04A0" w:firstRow="1" w:lastRow="0" w:firstColumn="1" w:lastColumn="0" w:noHBand="0" w:noVBand="1"/>
      </w:tblPr>
      <w:tr>
        <w:tc>
          <w:tcPr>
            <w:tcW w:w="0" w:type="auto"/>
          </w:tcPr>
          <w:p>
            <w:r>
              <w:rPr>
                <w:b/>
              </w:rPr>
              <w:t xml:space="preserve">Metric</w:t>
            </w:r>
          </w:p>
        </w:tc>
        <w:tc>
          <w:tcPr>
            <w:tcW w:w="0" w:type="auto"/>
          </w:tcPr>
          <w:p>
            <w:r>
              <w:rPr>
                <w:b/>
              </w:rPr>
              <w:t xml:space="preserve">Result</w:t>
            </w:r>
          </w:p>
        </w:tc>
        <w:tc>
          <w:tcPr>
            <w:tcW w:w="0" w:type="auto"/>
          </w:tcPr>
          <w:p>
            <w:r>
              <w:rPr>
                <w:b/>
              </w:rPr>
              <w:t xml:space="preserve">Evaluation</w:t>
            </w:r>
          </w:p>
        </w:tc>
      </w:tr>
      <w:tr>
        <w:tc>
          <w:tcPr>
            <w:tcW w:w="0" w:type="auto"/>
          </w:tcPr>
          <w:p>
            <w:r>
              <w:t xml:space="preserve">Passed checks</w:t>
            </w:r>
          </w:p>
        </w:tc>
        <w:tc>
          <w:tcPr>
            <w:tcW w:w="0" w:type="auto"/>
          </w:tcPr>
          <w:p>
            <w:r>
              <w:t xml:space="preserve">15</w:t>
            </w:r>
          </w:p>
        </w:tc>
        <w:tc>
          <w:tcPr>
            <w:tcW w:w="0" w:type="auto"/>
          </w:tcPr>
          <w:p>
            <w:r>
              <w:t xml:space="preserve">INFO</w:t>
            </w:r>
          </w:p>
        </w:tc>
      </w:tr>
      <w:tr>
        <w:tc>
          <w:tcPr>
            <w:tcW w:w="0" w:type="auto"/>
          </w:tcPr>
          <w:p>
            <w:r>
              <w:t xml:space="preserve">Total checks</w:t>
            </w:r>
          </w:p>
        </w:tc>
        <w:tc>
          <w:tcPr>
            <w:tcW w:w="0" w:type="auto"/>
          </w:tcPr>
          <w:p>
            <w:r>
              <w:t xml:space="preserve">15</w:t>
            </w:r>
          </w:p>
        </w:tc>
        <w:tc>
          <w:tcPr>
            <w:tcW w:w="0" w:type="auto"/>
          </w:tcPr>
          <w:p>
            <w:r>
              <w:t xml:space="preserve">INFO</w:t>
            </w:r>
          </w:p>
        </w:tc>
      </w:tr>
      <w:tr>
        <w:tc>
          <w:tcPr>
            <w:tcW w:w="0" w:type="auto"/>
          </w:tcPr>
          <w:p>
            <w:r>
              <w:t xml:space="preserve">Compatibility rate</w:t>
            </w:r>
          </w:p>
        </w:tc>
        <w:tc>
          <w:tcPr>
            <w:tcW w:w="0" w:type="auto"/>
          </w:tcPr>
          <w:p>
            <w:r>
              <w:t xml:space="preserve">100.0%</w:t>
            </w:r>
          </w:p>
        </w:tc>
        <w:tc>
          <w:tcPr>
            <w:tcW w:w="0" w:type="auto"/>
          </w:tcPr>
          <w:p>
            <w:r>
              <w:t xml:space="preserve">PASS</w:t>
            </w:r>
          </w:p>
        </w:tc>
      </w:tr>
      <w:tr>
        <w:tc>
          <w:tcPr>
            <w:tcW w:w="0" w:type="auto"/>
          </w:tcPr>
          <w:p>
            <w:r>
              <w:t xml:space="preserve">Required compatibility threshold</w:t>
            </w:r>
          </w:p>
        </w:tc>
        <w:tc>
          <w:tcPr>
            <w:tcW w:w="0" w:type="auto"/>
          </w:tcPr>
          <w:p>
            <w:r>
              <w:t xml:space="preserve">90.0%</w:t>
            </w:r>
          </w:p>
        </w:tc>
        <w:tc>
          <w:tcPr>
            <w:tcW w:w="0" w:type="auto"/>
          </w:tcPr>
          <w:p>
            <w:r>
              <w:t xml:space="preserve">PASS</w:t>
            </w:r>
          </w:p>
        </w:tc>
      </w:tr>
      <w:tr>
        <w:tc>
          <w:tcPr>
            <w:tcW w:w="0" w:type="auto"/>
          </w:tcPr>
          <w:p>
            <w:r>
              <w:t xml:space="preserve">Overall TE02-007 result</w:t>
            </w:r>
          </w:p>
        </w:tc>
        <w:tc>
          <w:tcPr>
            <w:tcW w:w="0" w:type="auto"/>
          </w:tcPr>
          <w:p>
            <w:r>
              <w:t xml:space="preserve">PASS</w:t>
            </w:r>
          </w:p>
        </w:tc>
        <w:tc>
          <w:tcPr>
            <w:tcW w:w="0" w:type="auto"/>
          </w:tcPr>
          <w:p>
            <w:r>
              <w:t xml:space="preserve">PASS</w:t>
            </w:r>
          </w:p>
        </w:tc>
      </w:tr>
    </w:tbl>
    <w:p>
      <w:r>
        <w:t xml:space="preserve">The /statusjoy interface was available and published 27,081 samples. The observed state value was [1], which is a valid CAN-derived machine state corresponding to battery power on with engine off. The measured update rate was 167.45 Hz, and the maximum communication gap was 0.037 s. This confirms that the discrete CAN-derived machine status was continuously exposed through the ROS 2 abstraction layer.</w:t>
      </w:r>
    </w:p>
    <w:p>
      <w:r>
        <w:t xml:space="preserve">The /joints interface was available and published 1,616 samples. The topic provided at least four CAN-derived machine feedback channels, and all checked values were finite numeric values. The measured update rate was 9.99 Hz, and the maximum communication gap was 0.103 s. The validation also detected feedback changes in all four evaluated joint channels, with observed ranges of approximately 29.40, 8.02, 74.10, and 3.00 respectively. This confirms that continuous CAN-derived machine position feedback was exposed through the abstraction layer.</w:t>
      </w:r>
    </w:p>
    <w:p>
      <w:r>
        <w:t xml:space="preserve">The /joint_states interface was available and published 1,616 samples. The expected ROS joint names were present:</w:t>
      </w:r>
    </w:p>
    <w:tbl>
      <w:tblPr>
        <w:tblStyle w:val="TableGrid"/>
        <w:tblW w:w="0" w:type="auto"/>
        <w:tblLook w:val="04A0" w:firstRow="1" w:lastRow="0" w:firstColumn="1" w:lastColumn="0" w:noHBand="0" w:noVBand="1"/>
      </w:tblPr>
      <w:tr>
        <w:tc>
          <w:tcPr>
            <w:tcW w:w="0" w:type="auto"/>
          </w:tcPr>
          <w:p>
            <w:r>
              <w:rPr>
                <w:b/>
              </w:rPr>
              <w:t xml:space="preserve">Expected ROS joint</w:t>
            </w:r>
          </w:p>
        </w:tc>
      </w:tr>
      <w:tr>
        <w:tc>
          <w:tcPr>
            <w:tcW w:w="0" w:type="auto"/>
          </w:tcPr>
          <w:p>
            <w:r>
              <w:t xml:space="preserve">base_to_cylinder_joint</w:t>
            </w:r>
          </w:p>
        </w:tc>
      </w:tr>
      <w:tr>
        <w:tc>
          <w:tcPr>
            <w:tcW w:w="0" w:type="auto"/>
          </w:tcPr>
          <w:p>
            <w:r>
              <w:t xml:space="preserve">cylinder_to_arm1_joint</w:t>
            </w:r>
          </w:p>
        </w:tc>
      </w:tr>
      <w:tr>
        <w:tc>
          <w:tcPr>
            <w:tcW w:w="0" w:type="auto"/>
          </w:tcPr>
          <w:p>
            <w:r>
              <w:t xml:space="preserve">arm_link1_to_arm2_joint</w:t>
            </w:r>
          </w:p>
        </w:tc>
      </w:tr>
      <w:tr>
        <w:tc>
          <w:tcPr>
            <w:tcW w:w="0" w:type="auto"/>
          </w:tcPr>
          <w:p>
            <w:r>
              <w:t xml:space="preserve">arm_link2_to_arm3_joint</w:t>
            </w:r>
          </w:p>
        </w:tc>
      </w:tr>
      <w:tr>
        <w:tc>
          <w:tcPr>
            <w:tcW w:w="0" w:type="auto"/>
          </w:tcPr>
          <w:p>
            <w:r>
              <w:t xml:space="preserve">arm_link3_to_arm4_joint</w:t>
            </w:r>
          </w:p>
        </w:tc>
      </w:tr>
      <w:tr>
        <w:tc>
          <w:tcPr>
            <w:tcW w:w="0" w:type="auto"/>
          </w:tcPr>
          <w:p>
            <w:r>
              <w:t xml:space="preserve">arm_link4_to_armFork_joint</w:t>
            </w:r>
          </w:p>
        </w:tc>
      </w:tr>
    </w:tbl>
    <w:p>
      <w:r>
        <w:t xml:space="preserve">All checked /joint_states values were finite. The measured update rate was 9.99 Hz, and the maximum communication gap was 0.111 s. This confirms that the CAN-derived /joints data was successfully converted into the standard ROS joint-state abstraction.</w:t>
      </w:r>
    </w:p>
    <w:p>
      <w:r>
        <w:t xml:space="preserve">The detailed compatibility checks were:</w:t>
      </w:r>
    </w:p>
    <w:tbl>
      <w:tblPr>
        <w:tblStyle w:val="TableGrid"/>
        <w:tblW w:w="0" w:type="auto"/>
        <w:tblLook w:val="04A0" w:firstRow="1" w:lastRow="0" w:firstColumn="1" w:lastColumn="0" w:noHBand="0" w:noVBand="1"/>
      </w:tblPr>
      <w:tr>
        <w:tc>
          <w:tcPr>
            <w:tcW w:w="0" w:type="auto"/>
          </w:tcPr>
          <w:p>
            <w:r>
              <w:rPr>
                <w:b/>
              </w:rPr>
              <w:t xml:space="preserve">Component</w:t>
            </w:r>
          </w:p>
        </w:tc>
        <w:tc>
          <w:tcPr>
            <w:tcW w:w="0" w:type="auto"/>
          </w:tcPr>
          <w:p>
            <w:r>
              <w:rPr>
                <w:b/>
              </w:rPr>
              <w:t xml:space="preserve">Check</w:t>
            </w:r>
          </w:p>
        </w:tc>
        <w:tc>
          <w:tcPr>
            <w:tcW w:w="0" w:type="auto"/>
          </w:tcPr>
          <w:p>
            <w:r>
              <w:rPr>
                <w:b/>
              </w:rPr>
              <w:t xml:space="preserve">Result</w:t>
            </w:r>
          </w:p>
        </w:tc>
      </w:tr>
      <w:tr>
        <w:tc>
          <w:tcPr>
            <w:tcW w:w="0" w:type="auto"/>
          </w:tcPr>
          <w:p>
            <w:r>
              <w:t xml:space="preserve">/statusjoy</w:t>
            </w:r>
          </w:p>
        </w:tc>
        <w:tc>
          <w:tcPr>
            <w:tcW w:w="0" w:type="auto"/>
          </w:tcPr>
          <w:p>
            <w:r>
              <w:t xml:space="preserve">Topic available</w:t>
            </w:r>
          </w:p>
        </w:tc>
        <w:tc>
          <w:tcPr>
            <w:tcW w:w="0" w:type="auto"/>
          </w:tcPr>
          <w:p>
            <w:r>
              <w:t xml:space="preserve">PASS</w:t>
            </w:r>
          </w:p>
        </w:tc>
      </w:tr>
      <w:tr>
        <w:tc>
          <w:tcPr>
            <w:tcW w:w="0" w:type="auto"/>
          </w:tcPr>
          <w:p>
            <w:r>
              <w:t xml:space="preserve">/statusjoy</w:t>
            </w:r>
          </w:p>
        </w:tc>
        <w:tc>
          <w:tcPr>
            <w:tcW w:w="0" w:type="auto"/>
          </w:tcPr>
          <w:p>
            <w:r>
              <w:t xml:space="preserve">Valid CAN state values</w:t>
            </w:r>
          </w:p>
        </w:tc>
        <w:tc>
          <w:tcPr>
            <w:tcW w:w="0" w:type="auto"/>
          </w:tcPr>
          <w:p>
            <w:r>
              <w:t xml:space="preserve">PASS</w:t>
            </w:r>
          </w:p>
        </w:tc>
      </w:tr>
      <w:tr>
        <w:tc>
          <w:tcPr>
            <w:tcW w:w="0" w:type="auto"/>
          </w:tcPr>
          <w:p>
            <w:r>
              <w:t xml:space="preserve">/statusjoy</w:t>
            </w:r>
          </w:p>
        </w:tc>
        <w:tc>
          <w:tcPr>
            <w:tcW w:w="0" w:type="auto"/>
          </w:tcPr>
          <w:p>
            <w:r>
              <w:t xml:space="preserve">Minimum update rate</w:t>
            </w:r>
          </w:p>
        </w:tc>
        <w:tc>
          <w:tcPr>
            <w:tcW w:w="0" w:type="auto"/>
          </w:tcPr>
          <w:p>
            <w:r>
              <w:t xml:space="preserve">PASS</w:t>
            </w:r>
          </w:p>
        </w:tc>
      </w:tr>
      <w:tr>
        <w:tc>
          <w:tcPr>
            <w:tcW w:w="0" w:type="auto"/>
          </w:tcPr>
          <w:p>
            <w:r>
              <w:t xml:space="preserve">/statusjoy</w:t>
            </w:r>
          </w:p>
        </w:tc>
        <w:tc>
          <w:tcPr>
            <w:tcW w:w="0" w:type="auto"/>
          </w:tcPr>
          <w:p>
            <w:r>
              <w:t xml:space="preserve">Communication continuity</w:t>
            </w:r>
          </w:p>
        </w:tc>
        <w:tc>
          <w:tcPr>
            <w:tcW w:w="0" w:type="auto"/>
          </w:tcPr>
          <w:p>
            <w:r>
              <w:t xml:space="preserve">PASS</w:t>
            </w:r>
          </w:p>
        </w:tc>
      </w:tr>
      <w:tr>
        <w:tc>
          <w:tcPr>
            <w:tcW w:w="0" w:type="auto"/>
          </w:tcPr>
          <w:p>
            <w:r>
              <w:t xml:space="preserve">/joints</w:t>
            </w:r>
          </w:p>
        </w:tc>
        <w:tc>
          <w:tcPr>
            <w:tcW w:w="0" w:type="auto"/>
          </w:tcPr>
          <w:p>
            <w:r>
              <w:t xml:space="preserve">Topic available</w:t>
            </w:r>
          </w:p>
        </w:tc>
        <w:tc>
          <w:tcPr>
            <w:tcW w:w="0" w:type="auto"/>
          </w:tcPr>
          <w:p>
            <w:r>
              <w:t xml:space="preserve">PASS</w:t>
            </w:r>
          </w:p>
        </w:tc>
      </w:tr>
      <w:tr>
        <w:tc>
          <w:tcPr>
            <w:tcW w:w="0" w:type="auto"/>
          </w:tcPr>
          <w:p>
            <w:r>
              <w:t xml:space="preserve">/joints</w:t>
            </w:r>
          </w:p>
        </w:tc>
        <w:tc>
          <w:tcPr>
            <w:tcW w:w="0" w:type="auto"/>
          </w:tcPr>
          <w:p>
            <w:r>
              <w:t xml:space="preserve">Minimum channel count</w:t>
            </w:r>
          </w:p>
        </w:tc>
        <w:tc>
          <w:tcPr>
            <w:tcW w:w="0" w:type="auto"/>
          </w:tcPr>
          <w:p>
            <w:r>
              <w:t xml:space="preserve">PASS</w:t>
            </w:r>
          </w:p>
        </w:tc>
      </w:tr>
      <w:tr>
        <w:tc>
          <w:tcPr>
            <w:tcW w:w="0" w:type="auto"/>
          </w:tcPr>
          <w:p>
            <w:r>
              <w:t xml:space="preserve">/joints</w:t>
            </w:r>
          </w:p>
        </w:tc>
        <w:tc>
          <w:tcPr>
            <w:tcW w:w="0" w:type="auto"/>
          </w:tcPr>
          <w:p>
            <w:r>
              <w:t xml:space="preserve">Finite numeric values</w:t>
            </w:r>
          </w:p>
        </w:tc>
        <w:tc>
          <w:tcPr>
            <w:tcW w:w="0" w:type="auto"/>
          </w:tcPr>
          <w:p>
            <w:r>
              <w:t xml:space="preserve">PASS</w:t>
            </w:r>
          </w:p>
        </w:tc>
      </w:tr>
      <w:tr>
        <w:tc>
          <w:tcPr>
            <w:tcW w:w="0" w:type="auto"/>
          </w:tcPr>
          <w:p>
            <w:r>
              <w:t xml:space="preserve">/joints</w:t>
            </w:r>
          </w:p>
        </w:tc>
        <w:tc>
          <w:tcPr>
            <w:tcW w:w="0" w:type="auto"/>
          </w:tcPr>
          <w:p>
            <w:r>
              <w:t xml:space="preserve">Minimum update rate</w:t>
            </w:r>
          </w:p>
        </w:tc>
        <w:tc>
          <w:tcPr>
            <w:tcW w:w="0" w:type="auto"/>
          </w:tcPr>
          <w:p>
            <w:r>
              <w:t xml:space="preserve">PASS</w:t>
            </w:r>
          </w:p>
        </w:tc>
      </w:tr>
      <w:tr>
        <w:tc>
          <w:tcPr>
            <w:tcW w:w="0" w:type="auto"/>
          </w:tcPr>
          <w:p>
            <w:r>
              <w:t xml:space="preserve">/joints</w:t>
            </w:r>
          </w:p>
        </w:tc>
        <w:tc>
          <w:tcPr>
            <w:tcW w:w="0" w:type="auto"/>
          </w:tcPr>
          <w:p>
            <w:r>
              <w:t xml:space="preserve">Communication continuity</w:t>
            </w:r>
          </w:p>
        </w:tc>
        <w:tc>
          <w:tcPr>
            <w:tcW w:w="0" w:type="auto"/>
          </w:tcPr>
          <w:p>
            <w:r>
              <w:t xml:space="preserve">PASS</w:t>
            </w:r>
          </w:p>
        </w:tc>
      </w:tr>
      <w:tr>
        <w:tc>
          <w:tcPr>
            <w:tcW w:w="0" w:type="auto"/>
          </w:tcPr>
          <w:p>
            <w:r>
              <w:t xml:space="preserve">/joints</w:t>
            </w:r>
          </w:p>
        </w:tc>
        <w:tc>
          <w:tcPr>
            <w:tcW w:w="0" w:type="auto"/>
          </w:tcPr>
          <w:p>
            <w:r>
              <w:t xml:space="preserve">CAN feedback changes detected</w:t>
            </w:r>
          </w:p>
        </w:tc>
        <w:tc>
          <w:tcPr>
            <w:tcW w:w="0" w:type="auto"/>
          </w:tcPr>
          <w:p>
            <w:r>
              <w:t xml:space="preserve">PASS</w:t>
            </w:r>
          </w:p>
        </w:tc>
      </w:tr>
      <w:tr>
        <w:tc>
          <w:tcPr>
            <w:tcW w:w="0" w:type="auto"/>
          </w:tcPr>
          <w:p>
            <w:r>
              <w:t xml:space="preserve">/joint_states</w:t>
            </w:r>
          </w:p>
        </w:tc>
        <w:tc>
          <w:tcPr>
            <w:tcW w:w="0" w:type="auto"/>
          </w:tcPr>
          <w:p>
            <w:r>
              <w:t xml:space="preserve">Topic available</w:t>
            </w:r>
          </w:p>
        </w:tc>
        <w:tc>
          <w:tcPr>
            <w:tcW w:w="0" w:type="auto"/>
          </w:tcPr>
          <w:p>
            <w:r>
              <w:t xml:space="preserve">PASS</w:t>
            </w:r>
          </w:p>
        </w:tc>
      </w:tr>
      <w:tr>
        <w:tc>
          <w:tcPr>
            <w:tcW w:w="0" w:type="auto"/>
          </w:tcPr>
          <w:p>
            <w:r>
              <w:t xml:space="preserve">/joint_states</w:t>
            </w:r>
          </w:p>
        </w:tc>
        <w:tc>
          <w:tcPr>
            <w:tcW w:w="0" w:type="auto"/>
          </w:tcPr>
          <w:p>
            <w:r>
              <w:t xml:space="preserve">Expected joint names present</w:t>
            </w:r>
          </w:p>
        </w:tc>
        <w:tc>
          <w:tcPr>
            <w:tcW w:w="0" w:type="auto"/>
          </w:tcPr>
          <w:p>
            <w:r>
              <w:t xml:space="preserve">PASS</w:t>
            </w:r>
          </w:p>
        </w:tc>
      </w:tr>
      <w:tr>
        <w:tc>
          <w:tcPr>
            <w:tcW w:w="0" w:type="auto"/>
          </w:tcPr>
          <w:p>
            <w:r>
              <w:t xml:space="preserve">/joint_states</w:t>
            </w:r>
          </w:p>
        </w:tc>
        <w:tc>
          <w:tcPr>
            <w:tcW w:w="0" w:type="auto"/>
          </w:tcPr>
          <w:p>
            <w:r>
              <w:t xml:space="preserve">Finite numeric values</w:t>
            </w:r>
          </w:p>
        </w:tc>
        <w:tc>
          <w:tcPr>
            <w:tcW w:w="0" w:type="auto"/>
          </w:tcPr>
          <w:p>
            <w:r>
              <w:t xml:space="preserve">PASS</w:t>
            </w:r>
          </w:p>
        </w:tc>
      </w:tr>
      <w:tr>
        <w:tc>
          <w:tcPr>
            <w:tcW w:w="0" w:type="auto"/>
          </w:tcPr>
          <w:p>
            <w:r>
              <w:t xml:space="preserve">/joint_states</w:t>
            </w:r>
          </w:p>
        </w:tc>
        <w:tc>
          <w:tcPr>
            <w:tcW w:w="0" w:type="auto"/>
          </w:tcPr>
          <w:p>
            <w:r>
              <w:t xml:space="preserve">Minimum update rate</w:t>
            </w:r>
          </w:p>
        </w:tc>
        <w:tc>
          <w:tcPr>
            <w:tcW w:w="0" w:type="auto"/>
          </w:tcPr>
          <w:p>
            <w:r>
              <w:t xml:space="preserve">PASS</w:t>
            </w:r>
          </w:p>
        </w:tc>
      </w:tr>
      <w:tr>
        <w:tc>
          <w:tcPr>
            <w:tcW w:w="0" w:type="auto"/>
          </w:tcPr>
          <w:p>
            <w:r>
              <w:t xml:space="preserve">/joint_states</w:t>
            </w:r>
          </w:p>
        </w:tc>
        <w:tc>
          <w:tcPr>
            <w:tcW w:w="0" w:type="auto"/>
          </w:tcPr>
          <w:p>
            <w:r>
              <w:t xml:space="preserve">Communication continuity</w:t>
            </w:r>
          </w:p>
        </w:tc>
        <w:tc>
          <w:tcPr>
            <w:tcW w:w="0" w:type="auto"/>
          </w:tcPr>
          <w:p>
            <w:r>
              <w:t xml:space="preserve">PASS</w:t>
            </w:r>
          </w:p>
        </w:tc>
      </w:tr>
    </w:tbl>
    <w:p>
      <w:pPr>
        <w:pStyle w:val="Heading1"/>
      </w:pPr>
      <w:r>
        <w:t xml:space="preserve">Conclusion</w:t>
      </w:r>
    </w:p>
    <w:p>
      <w:r>
        <w:t xml:space="preserve">The validation demonstrated that the telehandler hardware abstraction layer successfully exposes CAN-derived machine data through standard ROS 2 interfaces. The /statusjoy topic provided valid discrete CAN-derived machine status, the /joints topic provided continuous CAN-derived machine joint feedback, and /joint_states provided the standard ROS representation of the CAN-derived joint data.</w:t>
      </w:r>
    </w:p>
    <w:p>
      <w:r>
        <w:t xml:space="preserve">All 15 compatibility checks passed, producing a measured compatibility rate of 100.0%. This exceeds the required 90% compatibility threshold.</w:t>
      </w:r>
    </w:p>
    <w:p>
      <w:r>
        <w:t xml:space="preserve">Based on the current validation results, TE02-007 is validated successfully. The hardware abstraction layer standardises communication with the evaluated CAN-enabled machine interfaces and provides compatible ROS 2 outputs for both discrete machine status and continuous joint feedback.</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OpenCode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TEO2-007 CAN Hardware Abstraction Report Draft</dc:title>
  <dc:creator>OpenCode</dc:creator>
  <cp:lastModifiedBy>OpenCode</cp:lastModifiedBy>
  <dcterms:created xsi:type="dcterms:W3CDTF">2026-07-08T10:14:42Z</dcterms:created>
  <dcterms:modified xsi:type="dcterms:W3CDTF">2026-07-08T10:14:42Z</dcterms:modified>
</cp:coreProperties>
</file>