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TE02-029: Digital Twin Update Frequency</w:t>
      </w:r>
    </w:p>
    <w:p>
      <w:pPr>
        <w:pStyle w:val="Heading1"/>
      </w:pPr>
      <w:r>
        <w:t xml:space="preserve">Description</w:t>
      </w:r>
    </w:p>
    <w:p>
      <w:r>
        <w:t xml:space="preserve">This KPI evaluates whether the digital twin updates within 5 seconds after the real machine publishes joint-state information. The feature under validation maintains synchronisation with the digital twin so that the virtual model reflects the current telehandler state and supports the FMS visualisation interface.</w:t>
      </w:r>
    </w:p>
    <w:p>
      <w:r>
        <w:t xml:space="preserve">The validation is performed with the Unity digital twin running in visual mode. Unity receives /joint_states from the real machine, applies those joint values to the simulation model, publishes /joints_sim as the current simulated joint vector, and publishes /digital_twin/joint_state_sync_status as timing evidence.</w:t>
      </w:r>
    </w:p>
    <w:p>
      <w:pPr>
        <w:pStyle w:val="Heading1"/>
      </w:pPr>
      <w:r>
        <w:t xml:space="preserve">Methodology</w:t>
      </w:r>
    </w:p>
    <w:p>
      <w:r>
        <w:t xml:space="preserve">Before measuring the update latency, the simulation machine and the real machine are synchronised with chrony. The simulation machine is Ikaros and the real machine is mitac-telehandler-0. The recorded clock evidence reports millisecond-level RMS offsets and Leap status Normal on both systems, which makes cross-machine timestamp comparison valid for this KPI.</w:t>
      </w:r>
    </w:p>
    <w:tbl>
      <w:tblPr>
        <w:tblStyle w:val="TableGrid"/>
        <w:tblW w:w="0" w:type="auto"/>
        <w:tblLook w:val="04A0" w:firstRow="1" w:lastRow="0" w:firstColumn="1" w:lastColumn="0" w:noHBand="0" w:noVBand="1"/>
      </w:tblPr>
      <w:tr>
        <w:tc>
          <w:tcPr>
            <w:tcW w:w="0" w:type="auto"/>
          </w:tcPr>
          <w:p>
            <w:r>
              <w:rPr>
                <w:b/>
              </w:rPr>
              <w:t xml:space="preserve">Machine</w:t>
            </w:r>
          </w:p>
        </w:tc>
        <w:tc>
          <w:tcPr>
            <w:tcW w:w="0" w:type="auto"/>
          </w:tcPr>
          <w:p>
            <w:r>
              <w:rPr>
                <w:b/>
              </w:rPr>
              <w:t xml:space="preserve">Clock evidence</w:t>
            </w:r>
          </w:p>
        </w:tc>
      </w:tr>
      <w:tr>
        <w:tc>
          <w:tcPr>
            <w:tcW w:w="0" w:type="auto"/>
          </w:tcPr>
          <w:p>
            <w:r>
              <w:t xml:space="preserve">Ikaros</w:t>
            </w:r>
          </w:p>
        </w:tc>
        <w:tc>
          <w:tcPr>
            <w:tcW w:w="0" w:type="auto"/>
          </w:tcPr>
          <w:p>
            <w:r>
              <w:t xml:space="preserve">rms_offset_ms=1.709817; root_dispersion_ms=1.290345; leap_status=Normal</w:t>
            </w:r>
          </w:p>
        </w:tc>
      </w:tr>
      <w:tr>
        <w:tc>
          <w:tcPr>
            <w:tcW w:w="0" w:type="auto"/>
          </w:tcPr>
          <w:p>
            <w:r>
              <w:t xml:space="preserve">mitac-telehandler-0</w:t>
            </w:r>
          </w:p>
        </w:tc>
        <w:tc>
          <w:tcPr>
            <w:tcW w:w="0" w:type="auto"/>
          </w:tcPr>
          <w:p>
            <w:r>
              <w:t xml:space="preserve">rms_offset_ms=4.701989; root_dispersion_ms=4.251608; leap_status=Normal</w:t>
            </w:r>
          </w:p>
        </w:tc>
      </w:tr>
    </w:tbl>
    <w:p>
      <w:r>
        <w:t xml:space="preserve">The validation subscribes to /digital_twin/joint_state_sync_status. Each message contains the source /joint_states timestamp, the Unity update timestamp after the simulated model is updated, the measured latency in milliseconds, and the number of joints processed.</w:t>
      </w:r>
    </w:p>
    <w:p>
      <w:r>
        <w:t xml:space="preserve">A digital twin update counts as valid when the latency reported by Unity is below 5000 ms. The KPI passes when the maximum latency and the 95th percentile latency are both below 5000 ms, no negative latency samples are reported, and enough samples are collected for a representative validation run.</w:t>
      </w:r>
    </w:p>
    <w:p>
      <w:r>
        <w:t xml:space="preserve">Supporting evidence is collected from /joints_sim to confirm that Unity publishes the simulated joint vector after applying real joint states. A ROS bag is also recorded for auditability.</w:t>
      </w:r>
    </w:p>
    <w:p>
      <w:pPr>
        <w:pStyle w:val="Heading1"/>
      </w:pPr>
      <w:r>
        <w:t xml:space="preserve">Results</w:t>
      </w:r>
    </w:p>
    <w:p>
      <w:r>
        <w:t xml:space="preserve">The validation ran for 120.048 seconds and collected 1197 valid Unity sync-status samples. The maximum measured update latency was 526.462 ms, and the 95th percentile latency was 78.744 ms. No samples exceeded the 5000 ms threshold.</w:t>
      </w:r>
    </w:p>
    <w:tbl>
      <w:tblPr>
        <w:tblStyle w:val="TableGrid"/>
        <w:tblW w:w="0" w:type="auto"/>
        <w:tblLook w:val="04A0" w:firstRow="1" w:lastRow="0" w:firstColumn="1" w:lastColumn="0" w:noHBand="0" w:noVBand="1"/>
      </w:tblPr>
      <w:tr>
        <w:tc>
          <w:tcPr>
            <w:tcW w:w="0" w:type="auto"/>
          </w:tcPr>
          <w:p>
            <w:r>
              <w:rPr>
                <w:b/>
              </w:rPr>
              <w:t xml:space="preserve">Metric</w:t>
            </w:r>
          </w:p>
        </w:tc>
        <w:tc>
          <w:tcPr>
            <w:tcW w:w="0" w:type="auto"/>
          </w:tcPr>
          <w:p>
            <w:r>
              <w:rPr>
                <w:b/>
              </w:rPr>
              <w:t xml:space="preserve">Value</w:t>
            </w:r>
          </w:p>
        </w:tc>
        <w:tc>
          <w:tcPr>
            <w:tcW w:w="0" w:type="auto"/>
          </w:tcPr>
          <w:p>
            <w:r>
              <w:rPr>
                <w:b/>
              </w:rPr>
              <w:t xml:space="preserve">Evaluation</w:t>
            </w:r>
          </w:p>
        </w:tc>
      </w:tr>
      <w:tr>
        <w:tc>
          <w:tcPr>
            <w:tcW w:w="0" w:type="auto"/>
          </w:tcPr>
          <w:p>
            <w:r>
              <w:t xml:space="preserve">Threshold</w:t>
            </w:r>
          </w:p>
        </w:tc>
        <w:tc>
          <w:tcPr>
            <w:tcW w:w="0" w:type="auto"/>
          </w:tcPr>
          <w:p>
            <w:r>
              <w:t xml:space="preserve">5000.0 ms</w:t>
            </w:r>
          </w:p>
        </w:tc>
        <w:tc>
          <w:tcPr>
            <w:tcW w:w="0" w:type="auto"/>
          </w:tcPr>
          <w:p>
            <w:r>
              <w:t xml:space="preserve">INFO</w:t>
            </w:r>
          </w:p>
        </w:tc>
      </w:tr>
      <w:tr>
        <w:tc>
          <w:tcPr>
            <w:tcW w:w="0" w:type="auto"/>
          </w:tcPr>
          <w:p>
            <w:r>
              <w:t xml:space="preserve">Sync-status samples</w:t>
            </w:r>
          </w:p>
        </w:tc>
        <w:tc>
          <w:tcPr>
            <w:tcW w:w="0" w:type="auto"/>
          </w:tcPr>
          <w:p>
            <w:r>
              <w:t xml:space="preserve">1197</w:t>
            </w:r>
          </w:p>
        </w:tc>
        <w:tc>
          <w:tcPr>
            <w:tcW w:w="0" w:type="auto"/>
          </w:tcPr>
          <w:p>
            <w:r>
              <w:t xml:space="preserve">PASS</w:t>
            </w:r>
          </w:p>
        </w:tc>
      </w:tr>
      <w:tr>
        <w:tc>
          <w:tcPr>
            <w:tcW w:w="0" w:type="auto"/>
          </w:tcPr>
          <w:p>
            <w:r>
              <w:t xml:space="preserve">Parse errors</w:t>
            </w:r>
          </w:p>
        </w:tc>
        <w:tc>
          <w:tcPr>
            <w:tcW w:w="0" w:type="auto"/>
          </w:tcPr>
          <w:p>
            <w:r>
              <w:t xml:space="preserve">0</w:t>
            </w:r>
          </w:p>
        </w:tc>
        <w:tc>
          <w:tcPr>
            <w:tcW w:w="0" w:type="auto"/>
          </w:tcPr>
          <w:p>
            <w:r>
              <w:t xml:space="preserve">PASS</w:t>
            </w:r>
          </w:p>
        </w:tc>
      </w:tr>
      <w:tr>
        <w:tc>
          <w:tcPr>
            <w:tcW w:w="0" w:type="auto"/>
          </w:tcPr>
          <w:p>
            <w:r>
              <w:t xml:space="preserve">Negative latency samples</w:t>
            </w:r>
          </w:p>
        </w:tc>
        <w:tc>
          <w:tcPr>
            <w:tcW w:w="0" w:type="auto"/>
          </w:tcPr>
          <w:p>
            <w:r>
              <w:t xml:space="preserve">0</w:t>
            </w:r>
          </w:p>
        </w:tc>
        <w:tc>
          <w:tcPr>
            <w:tcW w:w="0" w:type="auto"/>
          </w:tcPr>
          <w:p>
            <w:r>
              <w:t xml:space="preserve">PASS</w:t>
            </w:r>
          </w:p>
        </w:tc>
      </w:tr>
      <w:tr>
        <w:tc>
          <w:tcPr>
            <w:tcW w:w="0" w:type="auto"/>
          </w:tcPr>
          <w:p>
            <w:r>
              <w:t xml:space="preserve">Minimum latency</w:t>
            </w:r>
          </w:p>
        </w:tc>
        <w:tc>
          <w:tcPr>
            <w:tcW w:w="0" w:type="auto"/>
          </w:tcPr>
          <w:p>
            <w:r>
              <w:t xml:space="preserve">4.805 ms</w:t>
            </w:r>
          </w:p>
        </w:tc>
        <w:tc>
          <w:tcPr>
            <w:tcW w:w="0" w:type="auto"/>
          </w:tcPr>
          <w:p>
            <w:r>
              <w:t xml:space="preserve">INFO</w:t>
            </w:r>
          </w:p>
        </w:tc>
      </w:tr>
      <w:tr>
        <w:tc>
          <w:tcPr>
            <w:tcW w:w="0" w:type="auto"/>
          </w:tcPr>
          <w:p>
            <w:r>
              <w:t xml:space="preserve">Mean latency</w:t>
            </w:r>
          </w:p>
        </w:tc>
        <w:tc>
          <w:tcPr>
            <w:tcW w:w="0" w:type="auto"/>
          </w:tcPr>
          <w:p>
            <w:r>
              <w:t xml:space="preserve">29.483 ms</w:t>
            </w:r>
          </w:p>
        </w:tc>
        <w:tc>
          <w:tcPr>
            <w:tcW w:w="0" w:type="auto"/>
          </w:tcPr>
          <w:p>
            <w:r>
              <w:t xml:space="preserve">INFO</w:t>
            </w:r>
          </w:p>
        </w:tc>
      </w:tr>
      <w:tr>
        <w:tc>
          <w:tcPr>
            <w:tcW w:w="0" w:type="auto"/>
          </w:tcPr>
          <w:p>
            <w:r>
              <w:t xml:space="preserve">Median latency</w:t>
            </w:r>
          </w:p>
        </w:tc>
        <w:tc>
          <w:tcPr>
            <w:tcW w:w="0" w:type="auto"/>
          </w:tcPr>
          <w:p>
            <w:r>
              <w:t xml:space="preserve">16.994 ms</w:t>
            </w:r>
          </w:p>
        </w:tc>
        <w:tc>
          <w:tcPr>
            <w:tcW w:w="0" w:type="auto"/>
          </w:tcPr>
          <w:p>
            <w:r>
              <w:t xml:space="preserve">INFO</w:t>
            </w:r>
          </w:p>
        </w:tc>
      </w:tr>
      <w:tr>
        <w:tc>
          <w:tcPr>
            <w:tcW w:w="0" w:type="auto"/>
          </w:tcPr>
          <w:p>
            <w:r>
              <w:t xml:space="preserve">95th percentile latency</w:t>
            </w:r>
          </w:p>
        </w:tc>
        <w:tc>
          <w:tcPr>
            <w:tcW w:w="0" w:type="auto"/>
          </w:tcPr>
          <w:p>
            <w:r>
              <w:t xml:space="preserve">78.744 ms</w:t>
            </w:r>
          </w:p>
        </w:tc>
        <w:tc>
          <w:tcPr>
            <w:tcW w:w="0" w:type="auto"/>
          </w:tcPr>
          <w:p>
            <w:r>
              <w:t xml:space="preserve">PASS</w:t>
            </w:r>
          </w:p>
        </w:tc>
      </w:tr>
      <w:tr>
        <w:tc>
          <w:tcPr>
            <w:tcW w:w="0" w:type="auto"/>
          </w:tcPr>
          <w:p>
            <w:r>
              <w:t xml:space="preserve">Maximum latency</w:t>
            </w:r>
          </w:p>
        </w:tc>
        <w:tc>
          <w:tcPr>
            <w:tcW w:w="0" w:type="auto"/>
          </w:tcPr>
          <w:p>
            <w:r>
              <w:t xml:space="preserve">526.462 ms</w:t>
            </w:r>
          </w:p>
        </w:tc>
        <w:tc>
          <w:tcPr>
            <w:tcW w:w="0" w:type="auto"/>
          </w:tcPr>
          <w:p>
            <w:r>
              <w:t xml:space="preserve">PASS</w:t>
            </w:r>
          </w:p>
        </w:tc>
      </w:tr>
      <w:tr>
        <w:tc>
          <w:tcPr>
            <w:tcW w:w="0" w:type="auto"/>
          </w:tcPr>
          <w:p>
            <w:r>
              <w:t xml:space="preserve">Samples over threshold</w:t>
            </w:r>
          </w:p>
        </w:tc>
        <w:tc>
          <w:tcPr>
            <w:tcW w:w="0" w:type="auto"/>
          </w:tcPr>
          <w:p>
            <w:r>
              <w:t xml:space="preserve">0</w:t>
            </w:r>
          </w:p>
        </w:tc>
        <w:tc>
          <w:tcPr>
            <w:tcW w:w="0" w:type="auto"/>
          </w:tcPr>
          <w:p>
            <w:r>
              <w:t xml:space="preserve">PASS</w:t>
            </w:r>
          </w:p>
        </w:tc>
      </w:tr>
      <w:tr>
        <w:tc>
          <w:tcPr>
            <w:tcW w:w="0" w:type="auto"/>
          </w:tcPr>
          <w:p>
            <w:r>
              <w:t xml:space="preserve">Success rate</w:t>
            </w:r>
          </w:p>
        </w:tc>
        <w:tc>
          <w:tcPr>
            <w:tcW w:w="0" w:type="auto"/>
          </w:tcPr>
          <w:p>
            <w:r>
              <w:t xml:space="preserve">100.0%</w:t>
            </w:r>
          </w:p>
        </w:tc>
        <w:tc>
          <w:tcPr>
            <w:tcW w:w="0" w:type="auto"/>
          </w:tcPr>
          <w:p>
            <w:r>
              <w:t xml:space="preserve">PASS</w:t>
            </w:r>
          </w:p>
        </w:tc>
      </w:tr>
      <w:tr>
        <w:tc>
          <w:tcPr>
            <w:tcW w:w="0" w:type="auto"/>
          </w:tcPr>
          <w:p>
            <w:r>
              <w:t xml:space="preserve">Overall TE02-029 result</w:t>
            </w:r>
          </w:p>
        </w:tc>
        <w:tc>
          <w:tcPr>
            <w:tcW w:w="0" w:type="auto"/>
          </w:tcPr>
          <w:p>
            <w:r>
              <w:t xml:space="preserve">PASS</w:t>
            </w:r>
          </w:p>
        </w:tc>
        <w:tc>
          <w:tcPr>
            <w:tcW w:w="0" w:type="auto"/>
          </w:tcPr>
          <w:p>
            <w:r>
              <w:t xml:space="preserve">PASS</w:t>
            </w:r>
          </w:p>
        </w:tc>
      </w:tr>
    </w:tbl>
    <w:p>
      <w:r>
        <w:t xml:space="preserve">The /joints_sim supporting stream produced 2367 samples with a maximum receive gap of 0.417492 s. The real /joint_states stream produced 1194 samples with a maximum receive gap of 0.375075 s.</w:t>
      </w:r>
    </w:p>
    <w:tbl>
      <w:tblPr>
        <w:tblStyle w:val="TableGrid"/>
        <w:tblW w:w="0" w:type="auto"/>
        <w:tblLook w:val="04A0" w:firstRow="1" w:lastRow="0" w:firstColumn="1" w:lastColumn="0" w:noHBand="0" w:noVBand="1"/>
      </w:tblPr>
      <w:tr>
        <w:tc>
          <w:tcPr>
            <w:tcW w:w="0" w:type="auto"/>
          </w:tcPr>
          <w:p>
            <w:r>
              <w:rPr>
                <w:b/>
              </w:rPr>
              <w:t xml:space="preserve">Supporting stream</w:t>
            </w:r>
          </w:p>
        </w:tc>
        <w:tc>
          <w:tcPr>
            <w:tcW w:w="0" w:type="auto"/>
          </w:tcPr>
          <w:p>
            <w:r>
              <w:rPr>
                <w:b/>
              </w:rPr>
              <w:t xml:space="preserve">Samples</w:t>
            </w:r>
          </w:p>
        </w:tc>
        <w:tc>
          <w:tcPr>
            <w:tcW w:w="0" w:type="auto"/>
          </w:tcPr>
          <w:p>
            <w:r>
              <w:rPr>
                <w:b/>
              </w:rPr>
              <w:t xml:space="preserve">Maximum gap</w:t>
            </w:r>
          </w:p>
        </w:tc>
        <w:tc>
          <w:tcPr>
            <w:tcW w:w="0" w:type="auto"/>
          </w:tcPr>
          <w:p>
            <w:r>
              <w:rPr>
                <w:b/>
              </w:rPr>
              <w:t xml:space="preserve">Evaluation</w:t>
            </w:r>
          </w:p>
        </w:tc>
      </w:tr>
      <w:tr>
        <w:tc>
          <w:tcPr>
            <w:tcW w:w="0" w:type="auto"/>
          </w:tcPr>
          <w:p>
            <w:r>
              <w:t xml:space="preserve">/joints_sim</w:t>
            </w:r>
          </w:p>
        </w:tc>
        <w:tc>
          <w:tcPr>
            <w:tcW w:w="0" w:type="auto"/>
          </w:tcPr>
          <w:p>
            <w:r>
              <w:t xml:space="preserve">2367</w:t>
            </w:r>
          </w:p>
        </w:tc>
        <w:tc>
          <w:tcPr>
            <w:tcW w:w="0" w:type="auto"/>
          </w:tcPr>
          <w:p>
            <w:r>
              <w:t xml:space="preserve">0.417492 s</w:t>
            </w:r>
          </w:p>
        </w:tc>
        <w:tc>
          <w:tcPr>
            <w:tcW w:w="0" w:type="auto"/>
          </w:tcPr>
          <w:p>
            <w:r>
              <w:t xml:space="preserve">PASS</w:t>
            </w:r>
          </w:p>
        </w:tc>
      </w:tr>
      <w:tr>
        <w:tc>
          <w:tcPr>
            <w:tcW w:w="0" w:type="auto"/>
          </w:tcPr>
          <w:p>
            <w:r>
              <w:t xml:space="preserve">/joint_states</w:t>
            </w:r>
          </w:p>
        </w:tc>
        <w:tc>
          <w:tcPr>
            <w:tcW w:w="0" w:type="auto"/>
          </w:tcPr>
          <w:p>
            <w:r>
              <w:t xml:space="preserve">1194</w:t>
            </w:r>
          </w:p>
        </w:tc>
        <w:tc>
          <w:tcPr>
            <w:tcW w:w="0" w:type="auto"/>
          </w:tcPr>
          <w:p>
            <w:r>
              <w:t xml:space="preserve">0.375075 s</w:t>
            </w:r>
          </w:p>
        </w:tc>
        <w:tc>
          <w:tcPr>
            <w:tcW w:w="0" w:type="auto"/>
          </w:tcPr>
          <w:p>
            <w:r>
              <w:t xml:space="preserve">INFO</w:t>
            </w:r>
          </w:p>
        </w:tc>
      </w:tr>
    </w:tbl>
    <w:p>
      <w:r>
        <w:t xml:space="preserve">Example sync-status evidence:</w:t>
      </w:r>
    </w:p>
    <w:tbl>
      <w:tblPr>
        <w:tblStyle w:val="TableGrid"/>
        <w:tblW w:w="0" w:type="auto"/>
        <w:tblLook w:val="04A0" w:firstRow="1" w:lastRow="0" w:firstColumn="1" w:lastColumn="0" w:noHBand="0" w:noVBand="1"/>
      </w:tblPr>
      <w:tr>
        <w:tc>
          <w:tcPr>
            <w:tcW w:w="0" w:type="auto"/>
          </w:tcPr>
          <w:p>
            <w:r>
              <w:rPr>
                <w:b/>
              </w:rPr>
              <w:t xml:space="preserve">Field</w:t>
            </w:r>
          </w:p>
        </w:tc>
        <w:tc>
          <w:tcPr>
            <w:tcW w:w="0" w:type="auto"/>
          </w:tcPr>
          <w:p>
            <w:r>
              <w:rPr>
                <w:b/>
              </w:rPr>
              <w:t xml:space="preserve">Value</w:t>
            </w:r>
          </w:p>
        </w:tc>
      </w:tr>
      <w:tr>
        <w:tc>
          <w:tcPr>
            <w:tcW w:w="0" w:type="auto"/>
          </w:tcPr>
          <w:p>
            <w:r>
              <w:t xml:space="preserve">source_topic</w:t>
            </w:r>
          </w:p>
        </w:tc>
        <w:tc>
          <w:tcPr>
            <w:tcW w:w="0" w:type="auto"/>
          </w:tcPr>
          <w:p>
            <w:r>
              <w:t xml:space="preserve">/joint_states</w:t>
            </w:r>
          </w:p>
        </w:tc>
      </w:tr>
      <w:tr>
        <w:tc>
          <w:tcPr>
            <w:tcW w:w="0" w:type="auto"/>
          </w:tcPr>
          <w:p>
            <w:r>
              <w:t xml:space="preserve">source_stamp_sec</w:t>
            </w:r>
          </w:p>
        </w:tc>
        <w:tc>
          <w:tcPr>
            <w:tcW w:w="0" w:type="auto"/>
          </w:tcPr>
          <w:p>
            <w:r>
              <w:t xml:space="preserve">1783590535.71831</w:t>
            </w:r>
          </w:p>
        </w:tc>
      </w:tr>
      <w:tr>
        <w:tc>
          <w:tcPr>
            <w:tcW w:w="0" w:type="auto"/>
          </w:tcPr>
          <w:p>
            <w:r>
              <w:t xml:space="preserve">unity_update_time_sec</w:t>
            </w:r>
          </w:p>
        </w:tc>
        <w:tc>
          <w:tcPr>
            <w:tcW w:w="0" w:type="auto"/>
          </w:tcPr>
          <w:p>
            <w:r>
              <w:t xml:space="preserve">1783590535.877</w:t>
            </w:r>
          </w:p>
        </w:tc>
      </w:tr>
      <w:tr>
        <w:tc>
          <w:tcPr>
            <w:tcW w:w="0" w:type="auto"/>
          </w:tcPr>
          <w:p>
            <w:r>
              <w:t xml:space="preserve">latency_ms</w:t>
            </w:r>
          </w:p>
        </w:tc>
        <w:tc>
          <w:tcPr>
            <w:tcW w:w="0" w:type="auto"/>
          </w:tcPr>
          <w:p>
            <w:r>
              <w:t xml:space="preserve">158.69</w:t>
            </w:r>
          </w:p>
        </w:tc>
      </w:tr>
      <w:tr>
        <w:tc>
          <w:tcPr>
            <w:tcW w:w="0" w:type="auto"/>
          </w:tcPr>
          <w:p>
            <w:r>
              <w:t xml:space="preserve">joint_count</w:t>
            </w:r>
          </w:p>
        </w:tc>
        <w:tc>
          <w:tcPr>
            <w:tcW w:w="0" w:type="auto"/>
          </w:tcPr>
          <w:p>
            <w:r>
              <w:t xml:space="preserve">9</w:t>
            </w:r>
          </w:p>
        </w:tc>
      </w:tr>
    </w:tbl>
    <w:p>
      <w:r>
        <w:t xml:space="preserve">Example /joints_sim evidence confirms that Unity publishes 9 simulated joint values using the telehandler joint names.</w:t>
      </w:r>
    </w:p>
    <w:tbl>
      <w:tblPr>
        <w:tblStyle w:val="TableGrid"/>
        <w:tblW w:w="0" w:type="auto"/>
        <w:tblLook w:val="04A0" w:firstRow="1" w:lastRow="0" w:firstColumn="1" w:lastColumn="0" w:noHBand="0" w:noVBand="1"/>
      </w:tblPr>
      <w:tr>
        <w:tc>
          <w:tcPr>
            <w:tcW w:w="0" w:type="auto"/>
          </w:tcPr>
          <w:p>
            <w:r>
              <w:rPr>
                <w:b/>
              </w:rPr>
              <w:t xml:space="preserve">Field</w:t>
            </w:r>
          </w:p>
        </w:tc>
        <w:tc>
          <w:tcPr>
            <w:tcW w:w="0" w:type="auto"/>
          </w:tcPr>
          <w:p>
            <w:r>
              <w:rPr>
                <w:b/>
              </w:rPr>
              <w:t xml:space="preserve">Value</w:t>
            </w:r>
          </w:p>
        </w:tc>
      </w:tr>
      <w:tr>
        <w:tc>
          <w:tcPr>
            <w:tcW w:w="0" w:type="auto"/>
          </w:tcPr>
          <w:p>
            <w:r>
              <w:t xml:space="preserve">joint_count</w:t>
            </w:r>
          </w:p>
        </w:tc>
        <w:tc>
          <w:tcPr>
            <w:tcW w:w="0" w:type="auto"/>
          </w:tcPr>
          <w:p>
            <w:r>
              <w:t xml:space="preserve">9</w:t>
            </w:r>
          </w:p>
        </w:tc>
      </w:tr>
      <w:tr>
        <w:tc>
          <w:tcPr>
            <w:tcW w:w="0" w:type="auto"/>
          </w:tcPr>
          <w:p>
            <w:r>
              <w:t xml:space="preserve">joint_names</w:t>
            </w:r>
          </w:p>
        </w:tc>
        <w:tc>
          <w:tcPr>
            <w:tcW w:w="0" w:type="auto"/>
          </w:tcPr>
          <w:p>
            <w:r>
              <w:t xml:space="preserve">base_to_cylinder_joint;cylinder_to_arm1_joint;arm_link1_to_arm2_joint;arm_link2_to_arm3_joint;arm_link3_to_arm4_joint;arm_link4_to_armFork_joint;basket_link_to_armFork_joint;basket_crane_link_to_basket_link;winch_link_to_basket_crane_link</w:t>
            </w:r>
          </w:p>
        </w:tc>
      </w:tr>
    </w:tbl>
    <w:p>
      <w:pPr>
        <w:pStyle w:val="Heading1"/>
      </w:pPr>
      <w:r>
        <w:t xml:space="preserve">Recorded Bag Evidence</w:t>
      </w:r>
    </w:p>
    <w:p>
      <w:r>
        <w:t xml:space="preserve">The validation bag is stored at /home/lucaspinacosta/mnt/telehandler/criarte_ws/scripts/Fortis_KPI/KPI/TE02_029/results/bag_20260709_094854. The bag duration is 129.311 s and it contains 5197 messages.</w:t>
      </w:r>
    </w:p>
    <w:tbl>
      <w:tblPr>
        <w:tblStyle w:val="TableGrid"/>
        <w:tblW w:w="0" w:type="auto"/>
        <w:tblLook w:val="04A0" w:firstRow="1" w:lastRow="0" w:firstColumn="1" w:lastColumn="0" w:noHBand="0" w:noVBand="1"/>
      </w:tblPr>
      <w:tr>
        <w:tc>
          <w:tcPr>
            <w:tcW w:w="0" w:type="auto"/>
          </w:tcPr>
          <w:p>
            <w:r>
              <w:rPr>
                <w:b/>
              </w:rPr>
              <w:t xml:space="preserve">Topic</w:t>
            </w:r>
          </w:p>
        </w:tc>
        <w:tc>
          <w:tcPr>
            <w:tcW w:w="0" w:type="auto"/>
          </w:tcPr>
          <w:p>
            <w:r>
              <w:rPr>
                <w:b/>
              </w:rPr>
              <w:t xml:space="preserve">Message count</w:t>
            </w:r>
          </w:p>
        </w:tc>
      </w:tr>
      <w:tr>
        <w:tc>
          <w:tcPr>
            <w:tcW w:w="0" w:type="auto"/>
          </w:tcPr>
          <w:p>
            <w:r>
              <w:t xml:space="preserve">/digital_twin/joint_state_sync_status</w:t>
            </w:r>
          </w:p>
        </w:tc>
        <w:tc>
          <w:tcPr>
            <w:tcW w:w="0" w:type="auto"/>
          </w:tcPr>
          <w:p>
            <w:r>
              <w:t xml:space="preserve">1293</w:t>
            </w:r>
          </w:p>
        </w:tc>
      </w:tr>
      <w:tr>
        <w:tc>
          <w:tcPr>
            <w:tcW w:w="0" w:type="auto"/>
          </w:tcPr>
          <w:p>
            <w:r>
              <w:t xml:space="preserve">/joint_states</w:t>
            </w:r>
          </w:p>
        </w:tc>
        <w:tc>
          <w:tcPr>
            <w:tcW w:w="0" w:type="auto"/>
          </w:tcPr>
          <w:p>
            <w:r>
              <w:t xml:space="preserve">1292</w:t>
            </w:r>
          </w:p>
        </w:tc>
      </w:tr>
      <w:tr>
        <w:tc>
          <w:tcPr>
            <w:tcW w:w="0" w:type="auto"/>
          </w:tcPr>
          <w:p>
            <w:r>
              <w:t xml:space="preserve">/joints</w:t>
            </w:r>
          </w:p>
        </w:tc>
        <w:tc>
          <w:tcPr>
            <w:tcW w:w="0" w:type="auto"/>
          </w:tcPr>
          <w:p>
            <w:r>
              <w:t xml:space="preserve">1292</w:t>
            </w:r>
          </w:p>
        </w:tc>
      </w:tr>
      <w:tr>
        <w:tc>
          <w:tcPr>
            <w:tcW w:w="0" w:type="auto"/>
          </w:tcPr>
          <w:p>
            <w:r>
              <w:t xml:space="preserve">/tf</w:t>
            </w:r>
          </w:p>
        </w:tc>
        <w:tc>
          <w:tcPr>
            <w:tcW w:w="0" w:type="auto"/>
          </w:tcPr>
          <w:p>
            <w:r>
              <w:t xml:space="preserve">1292</w:t>
            </w:r>
          </w:p>
        </w:tc>
      </w:tr>
      <w:tr>
        <w:tc>
          <w:tcPr>
            <w:tcW w:w="0" w:type="auto"/>
          </w:tcPr>
          <w:p>
            <w:r>
              <w:t xml:space="preserve">/tf_static</w:t>
            </w:r>
          </w:p>
        </w:tc>
        <w:tc>
          <w:tcPr>
            <w:tcW w:w="0" w:type="auto"/>
          </w:tcPr>
          <w:p>
            <w:r>
              <w:t xml:space="preserve">28</w:t>
            </w:r>
          </w:p>
        </w:tc>
      </w:tr>
    </w:tbl>
    <w:p>
      <w:r>
        <w:t xml:space="preserve">The bag records the primary KPI timing topic /digital_twin/joint_state_sync_status and the real-machine /joint_states stream. The /joints_sim support evidence is available in the notebook CSV output, but it is not present in the recorded bag metadata.</w:t>
      </w:r>
    </w:p>
    <w:p>
      <w:pPr>
        <w:pStyle w:val="Heading1"/>
      </w:pPr>
      <w:r>
        <w:t xml:space="preserve">Conclusion</w:t>
      </w:r>
    </w:p>
    <w:p>
      <w:r>
        <w:t xml:space="preserve">TE02-029 passes. Unity reported 1197 valid digital-twin update latency samples, with a maximum latency of 526.462 ms and a 95th percentile latency of 78.744 ms. Both values are well below the required 5000 ms threshold.</w:t>
      </w:r>
    </w:p>
    <w:p>
      <w:r>
        <w:t xml:space="preserve">The recorded result demonstrates that the digital twin visual model updates from the real /joint_states stream within the required timing limit.</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OpenCode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TE02-029 Digital Twin Sync Report Draft</dc:title>
  <dc:creator>OpenCode</dc:creator>
  <cp:lastModifiedBy>OpenCode</cp:lastModifiedBy>
  <dcterms:created xsi:type="dcterms:W3CDTF">2026-07-09T09:57:56Z</dcterms:created>
  <dcterms:modified xsi:type="dcterms:W3CDTF">2026-07-09T09:57:56Z</dcterms:modified>
</cp:coreProperties>
</file>