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TEO2-026: ROS Action Request Reception and Processing</w:t>
      </w:r>
    </w:p>
    <w:p>
      <w:pPr>
        <w:pStyle w:val="Heading1"/>
      </w:pPr>
      <w:r>
        <w:t xml:space="preserve">Description</w:t>
      </w:r>
    </w:p>
    <w:p>
      <w:r>
        <w:t xml:space="preserve">This KPI evaluates whether the system successfully receives and processes ROS action requests with a success rate greater than 90%. The validation focuses on the communication path of the ROS action interface, not on the internal success criteria of the action behavior.</w:t>
      </w:r>
    </w:p>
    <w:p>
      <w:r>
        <w:t xml:space="preserve">The action server under test is /action/effector_controller, using action type telehandler_moveit/action/EffectorController.</w:t>
      </w:r>
    </w:p>
    <w:p>
      <w:pPr>
        <w:pStyle w:val="Heading1"/>
      </w:pPr>
      <w:r>
        <w:t xml:space="preserve">Methodology</w:t>
      </w:r>
    </w:p>
    <w:p>
      <w:r>
        <w:t xml:space="preserve">The validation uses a ROS 2 action client to send repeated action requests to the /action/effector_controller action server. For each request, the notebook checks whether the action server is available, whether the goal is accepted, and whether a result response is received before timeout.</w:t>
      </w:r>
    </w:p>
    <w:p>
      <w:r>
        <w:t xml:space="preserve">A request counts as a successful action communication transaction when the server is available, the goal is accepted, and the client receives a result response. The action result field success is recorded as diagnostic information only and does not define the KPI pass/fail result.</w:t>
      </w:r>
    </w:p>
    <w:p>
      <w:r>
        <w:t xml:space="preserve">The communication success rate is calculated as:</w:t>
      </w:r>
    </w:p>
    <w:p>
      <w:r>
        <w:t xml:space="preserve">communication_success_rate = communication_successful_requests / total_requests * 100</w:t>
      </w:r>
    </w:p>
    <w:p>
      <w:r>
        <w:t xml:space="preserve">The KPI passes when the communication success rate is greater than 90%.</w:t>
      </w:r>
    </w:p>
    <w:p>
      <w:r>
        <w:t xml:space="preserve">The test sends 30 action requests with the following configured goal 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0" w:type="auto"/>
          </w:tcPr>
          <w:p>
            <w:r>
              <w:rPr>
                <w:b/>
              </w:rPr>
              <w:t xml:space="preserve">Goal field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Value</w:t>
            </w:r>
          </w:p>
        </w:tc>
      </w:tr>
      <w:tr>
        <w:tc>
          <w:tcPr>
            <w:tcW w:w="0" w:type="auto"/>
          </w:tcPr>
          <w:p>
            <w:r>
              <w:t xml:space="preserve">frame_target</w:t>
            </w:r>
          </w:p>
        </w:tc>
        <w:tc>
          <w:tcPr>
            <w:tcW w:w="0" w:type="auto"/>
          </w:tcPr>
          <w:p>
            <w:r>
              <w:t xml:space="preserve">arm_fork_link</w:t>
            </w:r>
          </w:p>
        </w:tc>
      </w:tr>
      <w:tr>
        <w:tc>
          <w:tcPr>
            <w:tcW w:w="0" w:type="auto"/>
          </w:tcPr>
          <w:p>
            <w:r>
              <w:t xml:space="preserve">frame_reference</w:t>
            </w:r>
          </w:p>
        </w:tc>
        <w:tc>
          <w:tcPr>
            <w:tcW w:w="0" w:type="auto"/>
          </w:tcPr>
          <w:p>
            <w:r>
              <w:t xml:space="preserve">basket_link</w:t>
            </w:r>
          </w:p>
        </w:tc>
      </w:tr>
      <w:tr>
        <w:tc>
          <w:tcPr>
            <w:tcW w:w="0" w:type="auto"/>
          </w:tcPr>
          <w:p>
            <w:r>
              <w:t xml:space="preserve">height_distance</w:t>
            </w:r>
          </w:p>
        </w:tc>
        <w:tc>
          <w:tcPr>
            <w:tcW w:w="0" w:type="auto"/>
          </w:tcPr>
          <w:p>
            <w:r>
              <w:t xml:space="preserve">0.0</w:t>
            </w:r>
          </w:p>
        </w:tc>
      </w:tr>
      <w:tr>
        <w:tc>
          <w:tcPr>
            <w:tcW w:w="0" w:type="auto"/>
          </w:tcPr>
          <w:p>
            <w:r>
              <w:t xml:space="preserve">angle_degrees</w:t>
            </w:r>
          </w:p>
        </w:tc>
        <w:tc>
          <w:tcPr>
            <w:tcW w:w="0" w:type="auto"/>
          </w:tcPr>
          <w:p>
            <w:r>
              <w:t xml:space="preserve">-10.0</w:t>
            </w:r>
          </w:p>
        </w:tc>
      </w:tr>
      <w:tr>
        <w:tc>
          <w:tcPr>
            <w:tcW w:w="0" w:type="auto"/>
          </w:tcPr>
          <w:p>
            <w:r>
              <w:t xml:space="preserve">max_velocity</w:t>
            </w:r>
          </w:p>
        </w:tc>
        <w:tc>
          <w:tcPr>
            <w:tcW w:w="0" w:type="auto"/>
          </w:tcPr>
          <w:p>
            <w:r>
              <w:t xml:space="preserve">1.0</w:t>
            </w:r>
          </w:p>
        </w:tc>
      </w:tr>
      <w:tr>
        <w:tc>
          <w:tcPr>
            <w:tcW w:w="0" w:type="auto"/>
          </w:tcPr>
          <w:p>
            <w:r>
              <w:t xml:space="preserve">auto_adjust</w:t>
            </w:r>
          </w:p>
        </w:tc>
        <w:tc>
          <w:tcPr>
            <w:tcW w:w="0" w:type="auto"/>
          </w:tcPr>
          <w:p>
            <w:r>
              <w:t xml:space="preserve">False</w:t>
            </w:r>
          </w:p>
        </w:tc>
      </w:tr>
    </w:tbl>
    <w:p>
      <w:pPr>
        <w:pStyle w:val="Heading1"/>
      </w:pPr>
      <w:r>
        <w:t xml:space="preserve">Results</w:t>
      </w:r>
    </w:p>
    <w:p>
      <w:r>
        <w:t xml:space="preserve">The validation sent 30 action requests to /action/effector_controller. The action server was available for all requests, all goals were accepted, and all result responses were received. This produced a communication success rate of 100.0%.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0" w:type="auto"/>
          </w:tcPr>
          <w:p>
            <w:r>
              <w:rPr>
                <w:b/>
              </w:rPr>
              <w:t xml:space="preserve">Metric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Result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Evaluation</w:t>
            </w:r>
          </w:p>
        </w:tc>
      </w:tr>
      <w:tr>
        <w:tc>
          <w:tcPr>
            <w:tcW w:w="0" w:type="auto"/>
          </w:tcPr>
          <w:p>
            <w:r>
              <w:t xml:space="preserve">Total action requests</w:t>
            </w:r>
          </w:p>
        </w:tc>
        <w:tc>
          <w:tcPr>
            <w:tcW w:w="0" w:type="auto"/>
          </w:tcPr>
          <w:p>
            <w:r>
              <w:t xml:space="preserve">30</w:t>
            </w:r>
          </w:p>
        </w:tc>
        <w:tc>
          <w:tcPr>
            <w:tcW w:w="0" w:type="auto"/>
          </w:tcPr>
          <w:p>
            <w:r>
              <w:t xml:space="preserve">INFO</w:t>
            </w:r>
          </w:p>
        </w:tc>
      </w:tr>
      <w:tr>
        <w:tc>
          <w:tcPr>
            <w:tcW w:w="0" w:type="auto"/>
          </w:tcPr>
          <w:p>
            <w:r>
              <w:t xml:space="preserve">Server available requests</w:t>
            </w:r>
          </w:p>
        </w:tc>
        <w:tc>
          <w:tcPr>
            <w:tcW w:w="0" w:type="auto"/>
          </w:tcPr>
          <w:p>
            <w:r>
              <w:t xml:space="preserve">30 / 30</w:t>
            </w:r>
          </w:p>
        </w:tc>
        <w:tc>
          <w:tcPr>
            <w:tcW w:w="0" w:type="auto"/>
          </w:tcPr>
          <w:p>
            <w:r>
              <w:t xml:space="preserve">PASS</w:t>
            </w:r>
          </w:p>
        </w:tc>
      </w:tr>
      <w:tr>
        <w:tc>
          <w:tcPr>
            <w:tcW w:w="0" w:type="auto"/>
          </w:tcPr>
          <w:p>
            <w:r>
              <w:t xml:space="preserve">Accepted requests</w:t>
            </w:r>
          </w:p>
        </w:tc>
        <w:tc>
          <w:tcPr>
            <w:tcW w:w="0" w:type="auto"/>
          </w:tcPr>
          <w:p>
            <w:r>
              <w:t xml:space="preserve">30 / 30</w:t>
            </w:r>
          </w:p>
        </w:tc>
        <w:tc>
          <w:tcPr>
            <w:tcW w:w="0" w:type="auto"/>
          </w:tcPr>
          <w:p>
            <w:r>
              <w:t xml:space="preserve">PASS</w:t>
            </w:r>
          </w:p>
        </w:tc>
      </w:tr>
      <w:tr>
        <w:tc>
          <w:tcPr>
            <w:tcW w:w="0" w:type="auto"/>
          </w:tcPr>
          <w:p>
            <w:r>
              <w:t xml:space="preserve">Result responses received</w:t>
            </w:r>
          </w:p>
        </w:tc>
        <w:tc>
          <w:tcPr>
            <w:tcW w:w="0" w:type="auto"/>
          </w:tcPr>
          <w:p>
            <w:r>
              <w:t xml:space="preserve">30 / 30</w:t>
            </w:r>
          </w:p>
        </w:tc>
        <w:tc>
          <w:tcPr>
            <w:tcW w:w="0" w:type="auto"/>
          </w:tcPr>
          <w:p>
            <w:r>
              <w:t xml:space="preserve">PASS</w:t>
            </w:r>
          </w:p>
        </w:tc>
      </w:tr>
      <w:tr>
        <w:tc>
          <w:tcPr>
            <w:tcW w:w="0" w:type="auto"/>
          </w:tcPr>
          <w:p>
            <w:r>
              <w:t xml:space="preserve">Communication successful requests</w:t>
            </w:r>
          </w:p>
        </w:tc>
        <w:tc>
          <w:tcPr>
            <w:tcW w:w="0" w:type="auto"/>
          </w:tcPr>
          <w:p>
            <w:r>
              <w:t xml:space="preserve">30 / 30</w:t>
            </w:r>
          </w:p>
        </w:tc>
        <w:tc>
          <w:tcPr>
            <w:tcW w:w="0" w:type="auto"/>
          </w:tcPr>
          <w:p>
            <w:r>
              <w:t xml:space="preserve">PASS</w:t>
            </w:r>
          </w:p>
        </w:tc>
      </w:tr>
      <w:tr>
        <w:tc>
          <w:tcPr>
            <w:tcW w:w="0" w:type="auto"/>
          </w:tcPr>
          <w:p>
            <w:r>
              <w:t xml:space="preserve">Communication success rate</w:t>
            </w:r>
          </w:p>
        </w:tc>
        <w:tc>
          <w:tcPr>
            <w:tcW w:w="0" w:type="auto"/>
          </w:tcPr>
          <w:p>
            <w:r>
              <w:t xml:space="preserve">100.0%</w:t>
            </w:r>
          </w:p>
        </w:tc>
        <w:tc>
          <w:tcPr>
            <w:tcW w:w="0" w:type="auto"/>
          </w:tcPr>
          <w:p>
            <w:r>
              <w:t xml:space="preserve">PASS</w:t>
            </w:r>
          </w:p>
        </w:tc>
      </w:tr>
      <w:tr>
        <w:tc>
          <w:tcPr>
            <w:tcW w:w="0" w:type="auto"/>
          </w:tcPr>
          <w:p>
            <w:r>
              <w:t xml:space="preserve">Required threshold</w:t>
            </w:r>
          </w:p>
        </w:tc>
        <w:tc>
          <w:tcPr>
            <w:tcW w:w="0" w:type="auto"/>
          </w:tcPr>
          <w:p>
            <w:r>
              <w:t xml:space="preserve">&gt; 90.0%</w:t>
            </w:r>
          </w:p>
        </w:tc>
        <w:tc>
          <w:tcPr>
            <w:tcW w:w="0" w:type="auto"/>
          </w:tcPr>
          <w:p>
            <w:r>
              <w:t xml:space="preserve">PASS</w:t>
            </w:r>
          </w:p>
        </w:tc>
      </w:tr>
      <w:tr>
        <w:tc>
          <w:tcPr>
            <w:tcW w:w="0" w:type="auto"/>
          </w:tcPr>
          <w:p>
            <w:r>
              <w:t xml:space="preserve">95th percentile response latency</w:t>
            </w:r>
          </w:p>
        </w:tc>
        <w:tc>
          <w:tcPr>
            <w:tcW w:w="0" w:type="auto"/>
          </w:tcPr>
          <w:p>
            <w:r>
              <w:t xml:space="preserve">901.78 ms</w:t>
            </w:r>
          </w:p>
        </w:tc>
        <w:tc>
          <w:tcPr>
            <w:tcW w:w="0" w:type="auto"/>
          </w:tcPr>
          <w:p>
            <w:r>
              <w:t xml:space="preserve">INFO</w:t>
            </w:r>
          </w:p>
        </w:tc>
      </w:tr>
      <w:tr>
        <w:tc>
          <w:tcPr>
            <w:tcW w:w="0" w:type="auto"/>
          </w:tcPr>
          <w:p>
            <w:r>
              <w:t xml:space="preserve">Overall TE02-026 result</w:t>
            </w:r>
          </w:p>
        </w:tc>
        <w:tc>
          <w:tcPr>
            <w:tcW w:w="0" w:type="auto"/>
          </w:tcPr>
          <w:p>
            <w:r>
              <w:t xml:space="preserve">PASS</w:t>
            </w:r>
          </w:p>
        </w:tc>
        <w:tc>
          <w:tcPr>
            <w:tcW w:w="0" w:type="auto"/>
          </w:tcPr>
          <w:p>
            <w:r>
              <w:t xml:space="preserve">PASS</w:t>
            </w:r>
          </w:p>
        </w:tc>
      </w:tr>
    </w:tbl>
    <w:p>
      <w:r>
        <w:t xml:space="preserve">The action feedback log contains 404 feedback messages, providing additional evidence that the action server receives and processes goals during execution. The feedback reports the active frame as basket_link_to_armFork_joint and includes planning/executing state updates during the action requests.</w:t>
      </w:r>
    </w:p>
    <w:p>
      <w:r>
        <w:t xml:space="preserve">The action result diagnostic field also reported success for 30/30 requests. This value is recorded for traceability, but the KPI evaluation is based on action communication completion: server availability, goal acceptance, and result-response reception.</w:t>
      </w:r>
    </w:p>
    <w:p>
      <w:pPr>
        <w:pStyle w:val="Heading1"/>
      </w:pPr>
      <w:r>
        <w:t xml:space="preserve">Conclusion</w:t>
      </w:r>
    </w:p>
    <w:p>
      <w:r>
        <w:t xml:space="preserve">The validation demonstrates that the /action/effector_controller ROS action interface successfully receives and processes action requests from a ROS 2 client. All 30 action requests completed the required communication transaction: the action server was available, the goals were accepted, and result responses were received.</w:t>
      </w:r>
    </w:p>
    <w:p>
      <w:r>
        <w:t xml:space="preserve">The measured action communication success rate is 100.0%, which exceeds the required threshold of greater than 90%.</w:t>
      </w:r>
    </w:p>
    <w:p>
      <w:r>
        <w:t xml:space="preserve">Based on the current validation results, TE02-026 is validated successfully.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rPr>
      <w:b/>
      <w:sz w:val="32"/>
    </w:rPr>
  </w:style>
  <w:style w:type="paragraph" w:styleId="Heading1">
    <w:name w:val="heading 1"/>
    <w:basedOn w:val="Normal"/>
    <w:next w:val="Normal"/>
    <w:qFormat/>
    <w:rPr>
      <w:b/>
      <w:sz w:val="28"/>
    </w:rPr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OpenCode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TEO2-026 Action Communication Report Draft</dc:title>
  <dc:creator>OpenCode</dc:creator>
  <cp:lastModifiedBy>OpenCode</cp:lastModifiedBy>
  <dcterms:created xsi:type="dcterms:W3CDTF">2026-07-08T14:03:53Z</dcterms:created>
  <dcterms:modified xsi:type="dcterms:W3CDTF">2026-07-08T14:03:53Z</dcterms:modified>
</cp:coreProperties>
</file>