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467F"/>
          <w:sz w:val="52"/>
        </w:rPr>
        <w:t>ESTUDI DE LECTURA FÀCIL</w:t>
      </w:r>
    </w:p>
    <w:p/>
    <w:p>
      <w:pPr>
        <w:jc w:val="center"/>
      </w:pPr>
      <w:r>
        <w:rPr>
          <w:b/>
          <w:sz w:val="40"/>
        </w:rPr>
        <w:t>Participant 1</w:t>
      </w:r>
    </w:p>
    <w:p/>
    <w:p/>
    <w:p>
      <w:pPr>
        <w:jc w:val="center"/>
      </w:pPr>
      <w:r>
        <w:rPr>
          <w:b w:val="0"/>
          <w:sz w:val="26"/>
        </w:rPr>
        <w:t>Gràcies per participar en aquest estudi.</w:t>
      </w:r>
    </w:p>
    <w:p>
      <w:pPr>
        <w:jc w:val="center"/>
      </w:pPr>
      <w:r>
        <w:rPr>
          <w:b w:val="0"/>
          <w:sz w:val="26"/>
        </w:rPr>
      </w:r>
    </w:p>
    <w:p>
      <w:pPr>
        <w:jc w:val="center"/>
      </w:pPr>
      <w:r>
        <w:rPr>
          <w:b w:val="0"/>
          <w:sz w:val="26"/>
        </w:rPr>
        <w:t>Llegiràs una sèrie de textos.</w:t>
      </w:r>
    </w:p>
    <w:p>
      <w:pPr>
        <w:jc w:val="center"/>
      </w:pPr>
      <w:r>
        <w:rPr>
          <w:b w:val="0"/>
          <w:sz w:val="26"/>
        </w:rPr>
        <w:t>Després de cada text,</w:t>
      </w:r>
    </w:p>
    <w:p>
      <w:pPr>
        <w:jc w:val="center"/>
      </w:pPr>
      <w:r>
        <w:rPr>
          <w:b w:val="0"/>
          <w:sz w:val="26"/>
        </w:rPr>
        <w:t>respondràs 4 preguntes senzilles.</w:t>
      </w:r>
    </w:p>
    <w:p>
      <w:pPr>
        <w:jc w:val="center"/>
      </w:pPr>
      <w:r>
        <w:rPr>
          <w:b w:val="0"/>
          <w:sz w:val="26"/>
        </w:rPr>
      </w:r>
    </w:p>
    <w:p>
      <w:pPr>
        <w:jc w:val="center"/>
      </w:pPr>
      <w:r>
        <w:rPr>
          <w:b w:val="0"/>
          <w:sz w:val="26"/>
        </w:rPr>
        <w:t>Respondràs SÍ o NO a cada pregunta.</w:t>
      </w:r>
    </w:p>
    <w:p>
      <w:pPr>
        <w:jc w:val="center"/>
      </w:pPr>
      <w:r>
        <w:rPr>
          <w:b w:val="0"/>
          <w:sz w:val="26"/>
        </w:rPr>
      </w:r>
    </w:p>
    <w:p>
      <w:pPr>
        <w:jc w:val="center"/>
      </w:pPr>
      <w:r>
        <w:rPr>
          <w:b w:val="0"/>
          <w:sz w:val="26"/>
        </w:rPr>
        <w:t>No hi ha respostes correctes ni incorrectes.</w:t>
      </w:r>
    </w:p>
    <w:p>
      <w:pPr>
        <w:jc w:val="center"/>
      </w:pPr>
      <w:r>
        <w:rPr>
          <w:b w:val="0"/>
          <w:sz w:val="26"/>
        </w:rPr>
        <w:t>Ens interessa la teva opinió.</w:t>
      </w:r>
    </w:p>
    <w:p>
      <w:pPr>
        <w:jc w:val="center"/>
      </w:pPr>
      <w:r>
        <w:rPr>
          <w:b w:val="0"/>
          <w:sz w:val="26"/>
        </w:rPr>
      </w:r>
    </w:p>
    <w:p>
      <w:pPr>
        <w:jc w:val="center"/>
      </w:pPr>
      <w:r>
        <w:rPr>
          <w:b w:val="0"/>
          <w:sz w:val="26"/>
        </w:rPr>
        <w:t>Si tens algun dubte,</w:t>
      </w:r>
    </w:p>
    <w:p>
      <w:pPr>
        <w:jc w:val="center"/>
      </w:pPr>
      <w:r>
        <w:rPr>
          <w:b w:val="0"/>
          <w:sz w:val="26"/>
        </w:rPr>
        <w:t>demana ajuda a la persona que t'acompanya.</w:t>
      </w:r>
    </w:p>
    <w:p>
      <w:r>
        <w:br w:type="page"/>
      </w:r>
    </w:p>
    <w:p>
      <w:pPr>
        <w:jc w:val="left"/>
      </w:pPr>
      <w:r>
        <w:rPr>
          <w:b/>
          <w:color w:val="00467F"/>
          <w:sz w:val="40"/>
        </w:rPr>
        <w:t>SESSIÓ 1</w:t>
      </w:r>
    </w:p>
    <w:p>
      <w:r>
        <w:rPr>
          <w:b w:val="0"/>
          <w:i w:val="0"/>
          <w:color w:val="646464"/>
          <w:sz w:val="22"/>
        </w:rPr>
        <w:t>Participant 1  ·  Sessió 1 de 2</w:t>
      </w:r>
    </w:p>
    <w:p/>
    <w:p>
      <w:pPr>
        <w:jc w:val="left"/>
      </w:pPr>
      <w:r>
        <w:rPr>
          <w:b/>
          <w:color w:val="00467F"/>
          <w:sz w:val="30"/>
        </w:rPr>
        <w:t>Text 1 de 5</w:t>
      </w:r>
    </w:p>
    <w:p>
      <w:r>
        <w:rPr>
          <w:b w:val="0"/>
          <w:i/>
          <w:color w:val="505050"/>
          <w:sz w:val="22"/>
        </w:rPr>
        <w:t>Prospecte d’un medicament</w:t>
      </w:r>
    </w:p>
    <w:p/>
    <w:p>
      <w:pPr>
        <w:ind w:left="283" w:right="283"/>
      </w:pPr>
      <w:r>
        <w:rPr>
          <w:b w:val="0"/>
          <w:sz w:val="24"/>
        </w:rPr>
        <w:t xml:space="preserve">3. Cómo tomar lorazepam </w:t>
        <w:br/>
        <w:t>Siga exactamente las instrucciones de administración de este  medicamento indicadas por su médico o farmacéutico. En caso de duda consulte de nuevo a su médico o farmacéutico.</w:t>
        <w:br/>
        <w:t>El comprimido se puede partir en dosis iguales.</w:t>
        <w:br/>
        <w:t>Su médico le indicará la duración de su tratamiento. No suspenda el tratamiento antes ya que podría no ejercer el efecto deseado.</w:t>
        <w:br/>
        <w:t>Ansiedad:</w:t>
        <w:br/>
        <w:t>La dosis inicial recomendada en los estados de ansiedad es de 0,5 a 3 mg diarios divididos en varias tomas, administrados por vía oral, con o sin alimentos. Esta dosis puede aumentarse o disminuirse de acuerdo con las necesidades o edad del paciente y a criterio del médico.</w:t>
        <w:br/>
        <w:t>La duración del tratamiento debe ser lo más corta posible. Su médico deberá reevaluar su situación con regularidad. De forma general, la duración total del tratamiento no debe superar las 8-12 semanas, incluyendo la retirada gradual del mismo.</w:t>
        <w:br/>
        <w:t>Insomnio:</w:t>
        <w:br/>
        <w:t xml:space="preserve">El tratamiento debe comenzarse con la dosis más baja recomendada, 1 mg en dosis única al acostarse, aumentándola paulatinamente hasta conseguir la dosis eficaz. No debe excederse la dosis máxima de 4 mg. </w:t>
        <w:br/>
        <w:t>De forma general la duración del tratamiento debe ser lo más corta posible, pudiendo variar desde unos días hasta dos semanas, con una duración máxima de cuatro semanas, si se incluye la retirada gradual del medicamento. Su médico le indicará la dosis que deberá tomar en cada momento.</w:t>
        <w:br/>
        <w:t>En ciertos casos puede ser necesario prolongar el tratamiento más allá del período recomendado; dicha decisión sólo puede ser adoptada  por su médico.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2 de 5</w:t>
      </w:r>
    </w:p>
    <w:p>
      <w:r>
        <w:rPr>
          <w:b w:val="0"/>
          <w:i/>
          <w:color w:val="505050"/>
          <w:sz w:val="22"/>
        </w:rPr>
        <w:t>Noticia de premsa</w:t>
      </w:r>
    </w:p>
    <w:p/>
    <w:p>
      <w:pPr>
        <w:ind w:left="283" w:right="283"/>
      </w:pPr>
      <w:r>
        <w:rPr>
          <w:b w:val="0"/>
          <w:sz w:val="24"/>
        </w:rPr>
        <w:t>Docentes en huelga.</w:t>
        <w:br/>
        <w:br/>
        <w:t>Miles de docentes se manifiestan</w:t>
        <w:br/>
        <w:t>en el centro de Barcelona.</w:t>
        <w:br/>
        <w:br/>
        <w:t>La marcha sale de la plaza Urquinaona</w:t>
        <w:br/>
        <w:t>y llega a la de Sant Jaume.</w:t>
        <w:br/>
        <w:br/>
        <w:t>Los docentes piden más recursos</w:t>
        <w:br/>
        <w:t>para atender al alumnado.</w:t>
        <w:br/>
        <w:t>Quieren bajar las ratios</w:t>
        <w:br/>
        <w:t>y un incremento salarial.</w:t>
        <w:br/>
        <w:br/>
        <w:t>La portavoz de USTEC, Iolanda Segura,</w:t>
        <w:br/>
        <w:t>pide la dimisión de la consellera Esther Niubó.</w:t>
        <w:br/>
        <w:t>Lo hace si no lleva una propuesta</w:t>
        <w:br/>
        <w:t>en firme y voluntad negociadora</w:t>
        <w:br/>
        <w:t>en la reunión del jueves.</w:t>
        <w:br/>
        <w:br/>
        <w:t>Iolanda Segura critica</w:t>
        <w:br/>
        <w:t>la falta de voluntad negociadora</w:t>
        <w:br/>
        <w:t>del Gobierno y la consellera.</w:t>
        <w:br/>
        <w:t>Los acusa de defender un acuerdo</w:t>
        <w:br/>
        <w:t>que el 95% del colectivo rechaza.</w:t>
        <w:br/>
        <w:br/>
        <w:t>Pide una propuesta concreta</w:t>
        <w:br/>
        <w:t>para la reunión del jueves.</w:t>
        <w:br/>
        <w:t>Si no, pide la dimisión</w:t>
        <w:br/>
        <w:t>de la consellera Esther Niubó,</w:t>
        <w:br/>
        <w:t>la consellera de Interior, Núria Parlon,</w:t>
        <w:br/>
        <w:t>y el director general de la Policía, Josep Lluís Trapero.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3 de 5</w:t>
      </w:r>
    </w:p>
    <w:p>
      <w:r>
        <w:rPr>
          <w:b w:val="0"/>
          <w:i/>
          <w:color w:val="505050"/>
          <w:sz w:val="22"/>
        </w:rPr>
        <w:t>Informació guia turítica municipi o monument</w:t>
      </w:r>
    </w:p>
    <w:p/>
    <w:p>
      <w:pPr>
        <w:ind w:left="283" w:right="283"/>
      </w:pPr>
      <w:r>
        <w:rPr>
          <w:b w:val="0"/>
          <w:sz w:val="24"/>
        </w:rPr>
        <w:t>Los orígenes de la actual Vila-seca hay que buscarlos en el período de la repoblación de la Cataluña Nueva (siglo XII), cuando las tierras fueron repartidas entre la Iglesia y los prohombres o caballeros. En este período histórico se formaron dos núcleos de población.</w:t>
        <w:br/>
        <w:br/>
        <w:t>En 1162, el rey Alfonso el Casto, el arzobispo Bernat Tort y el caballero Guillem d’Aguiló dieron en feudo al caballero Ramon d’Olzina los restos de una antigua fortaleza sobre la cual se construyó un castillo feudal con casas a su alrededor. Fue la Vila-seca de los Olzina.</w:t>
        <w:br/>
        <w:br/>
        <w:t>Con pocos años de diferencia, se constituyó la Vila-seca del Común, que dependía de la Mitra. Estaba formada por viviendas sencillas, con patio, y algunas casas fortificadas. Para defenderse de los peligros propios de la Edad Media, los habitantes de la Vila-seca de los Olzina se refugiaban en el castillo, con la obligación de defenderlo.</w:t>
        <w:br/>
        <w:br/>
        <w:t>En la Vila-seca del Común, en el siglo XIV, se construyó una primera muralla con cuatro puertas de acceso a la población. En el año 1525, el arzobispado compró la jurisdicción sobre la villa y el castillo de los Olzina; de este modo se unieron las dos poblaciones.</w:t>
        <w:br/>
        <w:br/>
        <w:t>También en este siglo se produjeron ataques piratas que obligaron a construir una segunda muralla con un perímetro más amplio en forma de pentágono.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4 de 5</w:t>
      </w:r>
    </w:p>
    <w:p>
      <w:r>
        <w:rPr>
          <w:b w:val="0"/>
          <w:i/>
          <w:color w:val="505050"/>
          <w:sz w:val="22"/>
        </w:rPr>
        <w:t>Manual d’un joc de taula</w:t>
      </w:r>
    </w:p>
    <w:p/>
    <w:p>
      <w:pPr>
        <w:ind w:left="283" w:right="283"/>
      </w:pPr>
      <w:r>
        <w:rPr>
          <w:b w:val="0"/>
          <w:sz w:val="24"/>
        </w:rPr>
        <w:t>Juego de cartas para dos jugadores.</w:t>
        <w:br/>
        <w:br/>
        <w:t>El jugador que reparte</w:t>
        <w:br/>
        <w:t>da ocho cartas a cada uno.</w:t>
        <w:br/>
        <w:t>Luego, muestra la carta</w:t>
        <w:br/>
        <w:t>que marca el triunfo.</w:t>
        <w:br/>
        <w:br/>
        <w:t>Mientras queden cartas,</w:t>
        <w:br/>
        <w:t>solo es obligatorio</w:t>
        <w:br/>
        <w:t>jugar del palo de triunfo.</w:t>
        <w:br/>
        <w:t>No es necesario subir.</w:t>
        <w:br/>
        <w:br/>
        <w:t>Cuando no queden cartas,</w:t>
        <w:br/>
        <w:t>es obligatorio jugar,</w:t>
        <w:br/>
        <w:t>subir y fallar.</w:t>
        <w:br/>
        <w:t>Si no se puede jugar,</w:t>
        <w:br/>
        <w:t>se juega triunfo.</w:t>
        <w:br/>
        <w:br/>
        <w:t>La carta que marca el triunfo</w:t>
        <w:br/>
        <w:t>se puede cambiar por el 7</w:t>
        <w:br/>
        <w:t>del mismo palo, si es as,</w:t>
        <w:br/>
        <w:t>tres o figura.</w:t>
        <w:br/>
        <w:t>También se puede cambiar</w:t>
        <w:br/>
        <w:t>por el 2, si es blanca.</w:t>
        <w:br/>
        <w:br/>
        <w:t>Para hacer el cambio,</w:t>
        <w:br/>
        <w:t>el jugador pone el 7 o el 2</w:t>
        <w:br/>
        <w:t>debajo de la carta que marca.</w:t>
        <w:br/>
        <w:t>No puede tomar esta carta</w:t>
        <w:br/>
        <w:t>hasta que gane una baza.</w:t>
        <w:br/>
        <w:br/>
        <w:t>Los acuses o cánticos</w:t>
        <w:br/>
        <w:t>de 40 o 20 tantos</w:t>
        <w:br/>
        <w:t>no se pueden hacer</w:t>
        <w:br/>
        <w:t>hasta después de ganar.</w:t>
        <w:br/>
        <w:t>Solo se puede cantar</w:t>
        <w:br/>
        <w:t>un acuse cada vez.</w:t>
        <w:br/>
        <w:br/>
        <w:t>El jugador "mano"</w:t>
        <w:br/>
        <w:t>juega una carta.</w:t>
        <w:br/>
        <w:t>El otro jugador responde</w:t>
        <w:br/>
        <w:t>jugando una carta.</w:t>
        <w:br/>
        <w:br/>
        <w:t>El que gana la baza,</w:t>
        <w:br/>
        <w:t>la recoge y la deja</w:t>
        <w:br/>
        <w:t>a su lado boca abajo.</w:t>
        <w:br/>
        <w:t>Cada jugador roba</w:t>
        <w:br/>
        <w:t>una carta de la baceta.</w:t>
        <w:br/>
        <w:t>El que ganó la baza</w:t>
        <w:br/>
        <w:t>roba primero.</w:t>
        <w:br/>
        <w:br/>
        <w:t>El juego sigue así</w:t>
        <w:br/>
        <w:t>hasta que queden cartas.</w:t>
        <w:br/>
        <w:t>Gana el jugador que llegue</w:t>
        <w:br/>
        <w:t>a 101 tantos o más</w:t>
        <w:br/>
        <w:t>en uno o más juegos.</w:t>
        <w:br/>
        <w:br/>
        <w:t>Si nadie llega a 101,</w:t>
        <w:br/>
        <w:t>el que repartió antes</w:t>
        <w:br/>
        <w:t>vuelve a dar cartas.</w:t>
        <w:br/>
        <w:t>Gana el juego el que suma</w:t>
        <w:br/>
        <w:t>tantos y completa 101</w:t>
        <w:br/>
        <w:t>o más, y lo canta.</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5 de 5</w:t>
      </w:r>
    </w:p>
    <w:p>
      <w:r>
        <w:rPr>
          <w:b w:val="0"/>
          <w:i/>
          <w:color w:val="505050"/>
          <w:sz w:val="22"/>
        </w:rPr>
        <w:t>Carta o notificació d’una administració pública</w:t>
      </w:r>
    </w:p>
    <w:p/>
    <w:p>
      <w:pPr>
        <w:ind w:left="283" w:right="283"/>
      </w:pPr>
      <w:r>
        <w:rPr>
          <w:b w:val="0"/>
          <w:sz w:val="24"/>
        </w:rPr>
        <w:t>HECHOS Y FUNDAMENTOS DE DERECHO</w:t>
        <w:br/>
        <w:t>Vista la solicitud presentada por Joan Joan Joan, con NIF 9999999L, en la que solicita la concesión de una tarjeta de estacionamiento individual para personas con movilidad reducida.</w:t>
        <w:br/>
        <w:t>Vista la documentación presentada por la persona interesada, de la cual se desprende que el Departamento de Trabajo, Asuntos Sociales y Familias le ha reconocido un grado de discapacidad del 75%, y también determina que supera el baremo que establece la existencia de dificultades de movilidad.</w:t>
        <w:br/>
        <w:t>Visto lo establecido en el Decreto 97/2002, de 5 de marzo, del Departamento de Trabajo, Asuntos Sociales y Familias sobre la tarjeta de estacionamiento para personas con discapacidad y otras medidas dirigidas a facilitar el desplazamiento de las personas con movilidad reducida.</w:t>
        <w:br/>
        <w:t>En uso de las atribuciones que me confiere la vigente legislación en materia de Régimen Local,</w:t>
        <w:br/>
        <w:t>Fundamentos de derecho</w:t>
        <w:br/>
        <w:t>Decreto 97/2002, de 5 de marzo, del Departamento de Trabajo, Asuntos Sociales y Familias sobre la tarjeta de estacionamiento para personas con discapacidad y otras medidas dirigidas a facilitar el desplazamiento de las personas con movilidad reducida. DOGC núm. 3602 de 25/03/2002.</w:t>
        <w:br/>
        <w:t>Ley 13/2014, de 30 de octubre, de accesibilidad (Títulos IV y VII). DOGC núm. 6742 de 04/11/2014.</w:t>
        <w:br/>
        <w:t>Real Decreto 1056/2014, de 12 de diciembre, por el que se regulan las condiciones básicas de emisión y uso de la tarjeta de estacionamiento para personas con discapacidad. (BOE núm. 309 de 23/12/2014).</w:t>
        <w:br/>
        <w:t>Vista la propuesta de resolución PR/2026/568 de 10 de febrero de 2026.</w:t>
        <w:br/>
        <w:t>RESOLUCIÓN</w:t>
        <w:br/>
        <w:t>PRIMERO. Conceder a Joan Joan Joan, con NIF 9999999L, y domicilio en C/ Tarragona, la tarjeta individual de estacionamiento núm. 999999L. Por un período de validez del 06/02/2026 al 05/02/2028, por el grado de discapacidad del 75%, y mientras se mantengan las circunstancias establecidas por el Departamento de Derechos Sociales.</w:t>
        <w:br/>
        <w:t>SEGUNDO. Notificar esta autorización al Departamento de Derechos Sociales, a la persona interesada</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r>
        <w:br w:type="page"/>
      </w:r>
    </w:p>
    <w:p>
      <w:pPr>
        <w:jc w:val="left"/>
      </w:pPr>
      <w:r>
        <w:rPr>
          <w:b/>
          <w:color w:val="00467F"/>
          <w:sz w:val="40"/>
        </w:rPr>
        <w:t>SESSIÓ 2</w:t>
      </w:r>
    </w:p>
    <w:p>
      <w:r>
        <w:rPr>
          <w:b w:val="0"/>
          <w:i w:val="0"/>
          <w:color w:val="646464"/>
          <w:sz w:val="22"/>
        </w:rPr>
        <w:t>Participant 1  ·  Sessió 2 de 2</w:t>
      </w:r>
    </w:p>
    <w:p/>
    <w:p>
      <w:pPr>
        <w:jc w:val="left"/>
      </w:pPr>
      <w:r>
        <w:rPr>
          <w:b/>
          <w:color w:val="00467F"/>
          <w:sz w:val="30"/>
        </w:rPr>
        <w:t>Text 1 de 5</w:t>
      </w:r>
    </w:p>
    <w:p>
      <w:r>
        <w:rPr>
          <w:b w:val="0"/>
          <w:i/>
          <w:color w:val="505050"/>
          <w:sz w:val="22"/>
        </w:rPr>
        <w:t>Un programa electoral</w:t>
      </w:r>
    </w:p>
    <w:p/>
    <w:p>
      <w:pPr>
        <w:ind w:left="283" w:right="283"/>
      </w:pPr>
      <w:r>
        <w:rPr>
          <w:b w:val="0"/>
          <w:sz w:val="24"/>
        </w:rPr>
        <w:t>Vicerrector de Personal.</w:t>
        <w:br/>
        <w:br/>
        <w:t>Es el responsable</w:t>
        <w:br/>
        <w:t>de definir políticas</w:t>
        <w:br/>
        <w:t>de recursos humanos</w:t>
        <w:br/>
        <w:t>de la universidad.</w:t>
        <w:br/>
        <w:br/>
        <w:t>Su función es</w:t>
        <w:br/>
        <w:t>garantizar una gestión</w:t>
        <w:br/>
        <w:t>eficiente y justa</w:t>
        <w:br/>
        <w:t>del personal.</w:t>
        <w:br/>
        <w:br/>
        <w:t>El Vicerrector de Personal</w:t>
        <w:br/>
        <w:t>planifica las plantillas,</w:t>
        <w:br/>
        <w:t>coordina los procesos</w:t>
        <w:br/>
        <w:t>de selección y promoción.</w:t>
        <w:br/>
        <w:br/>
        <w:t>Además, impulsa</w:t>
        <w:br/>
        <w:t>el desarrollo profesional</w:t>
        <w:br/>
        <w:t>y las carreras académicas.</w:t>
        <w:br/>
        <w:br/>
        <w:t>Promueve un entorno laboral</w:t>
        <w:br/>
        <w:t>saludable e inclusivo,</w:t>
        <w:br/>
        <w:t>basado en la conciliación</w:t>
        <w:br/>
        <w:t>y la igualdad de oportunidades.</w:t>
        <w:br/>
        <w:br/>
        <w:t>Mantiene el diálogo</w:t>
        <w:br/>
        <w:t>con los órganos de representación</w:t>
        <w:br/>
        <w:t>del personal y trabaja</w:t>
        <w:br/>
        <w:t>de forma coordinada</w:t>
        <w:br/>
        <w:t>con el resto de vicerrectorados.</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2 de 5</w:t>
      </w:r>
    </w:p>
    <w:p>
      <w:r>
        <w:rPr>
          <w:b w:val="0"/>
          <w:i/>
          <w:color w:val="505050"/>
          <w:sz w:val="22"/>
        </w:rPr>
        <w:t>Receta en etiqueta d’un producte alimentari</w:t>
      </w:r>
    </w:p>
    <w:p/>
    <w:p>
      <w:pPr>
        <w:ind w:left="283" w:right="283"/>
      </w:pPr>
      <w:r>
        <w:rPr>
          <w:b w:val="0"/>
          <w:sz w:val="24"/>
        </w:rPr>
        <w:t>CARROT CAKE</w:t>
        <w:br/>
        <w:t>Ingredientes:</w:t>
        <w:br/>
        <w:t>•</w:t>
        <w:tab/>
        <w:t>250 g de Maizena</w:t>
        <w:br/>
        <w:t>•</w:t>
        <w:tab/>
        <w:t>250 g de azúcar moreno</w:t>
        <w:br/>
        <w:t>•</w:t>
        <w:tab/>
        <w:t>7,5 g de levadura de pastelería</w:t>
        <w:br/>
        <w:t>•</w:t>
        <w:tab/>
        <w:t>7,5 g de canela molida</w:t>
        <w:br/>
        <w:t>•</w:t>
        <w:tab/>
        <w:t>1,25 g de nuez moscada molida</w:t>
        <w:br/>
        <w:t>•</w:t>
        <w:tab/>
        <w:t>0,5 g de clavo molido</w:t>
        <w:br/>
        <w:t>•</w:t>
        <w:tab/>
        <w:t>125 g de zanahorias ralladas</w:t>
        <w:br/>
        <w:t>•</w:t>
        <w:tab/>
        <w:t>3 huevos</w:t>
        <w:br/>
        <w:t>•</w:t>
        <w:tab/>
        <w:t>75 g de aceite de girasol</w:t>
        <w:br/>
        <w:t>•</w:t>
        <w:tab/>
        <w:t>125 g de yogur natural</w:t>
        <w:br/>
        <w:t>•</w:t>
        <w:tab/>
        <w:t>75 g de leche entera</w:t>
        <w:br/>
        <w:t>Preparación:</w:t>
        <w:br/>
        <w:t>•</w:t>
        <w:tab/>
        <w:t>Precalentar el horno a 180 ºC. Embadurnar el molde con mantequilla y harina.</w:t>
        <w:br/>
        <w:t>•</w:t>
        <w:tab/>
        <w:t>Mezclar todos los ingredientes secos en un bol grande.</w:t>
        <w:br/>
        <w:t>•</w:t>
        <w:tab/>
        <w:t>En un recipiente aparte, mezclar los huevos, el aceite, la leche y el yogur.</w:t>
        <w:br/>
        <w:t>•</w:t>
        <w:tab/>
        <w:t>Combinar con el resto de los ingredientes.</w:t>
        <w:br/>
        <w:t>•</w:t>
        <w:tab/>
        <w:t>Hornear durante 35-40 minutos y dejar enfriar.</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3 de 5</w:t>
      </w:r>
    </w:p>
    <w:p>
      <w:r>
        <w:rPr>
          <w:b w:val="0"/>
          <w:i/>
          <w:color w:val="505050"/>
          <w:sz w:val="22"/>
        </w:rPr>
        <w:t>Contratar telefonia mòbil</w:t>
      </w:r>
    </w:p>
    <w:p/>
    <w:p>
      <w:pPr>
        <w:ind w:left="283" w:right="283"/>
      </w:pPr>
      <w:r>
        <w:rPr>
          <w:b w:val="0"/>
          <w:sz w:val="24"/>
        </w:rPr>
        <w:t>Te ofrecemos</w:t>
        <w:br/>
        <w:t>una oferta de telefonia móvil.</w:t>
        <w:br/>
        <w:br/>
        <w:t>Puedes navegar</w:t>
        <w:br/>
        <w:t>con velocidad y libertad.</w:t>
        <w:br/>
        <w:br/>
        <w:t>Incluye:</w:t>
        <w:br/>
        <w:t>• Fibra simétrica de 1Gb</w:t>
        <w:br/>
        <w:t>• Móvil con 120GB al mes</w:t>
        <w:br/>
        <w:br/>
        <w:t>Si quieres, puedes añadir líneas</w:t>
        <w:br/>
        <w:t>a 10 euros al mes.</w:t>
        <w:br/>
        <w:br/>
        <w:t>En cada línea móvil,</w:t>
        <w:br/>
        <w:t>puedes disfrutar de:</w:t>
        <w:br/>
        <w:t>• 120GB al mes acumulables</w:t>
        <w:br/>
        <w:t>• Llamadas ilimitadas a fijos y móviles nacionales</w:t>
        <w:br/>
        <w:br/>
        <w:t>Además, es compatible con eSIM y MultiSIM.</w:t>
        <w:br/>
        <w:br/>
        <w:t>La fibra simétrica tiene:</w:t>
        <w:br/>
        <w:t>• Velocidad de subida y bajada igual</w:t>
        <w:br/>
        <w:t>• Sin permanencia ni costes de alta</w:t>
        <w:br/>
        <w:br/>
        <w:t>Si hay una incidencia,</w:t>
        <w:br/>
        <w:t>te compensamos con 50GB gratis al día en tu móvil.</w:t>
        <w:br/>
        <w:br/>
        <w:t>Incluye un router gratuito.</w:t>
        <w:br/>
        <w:t>Si te marchas, solo tienes que devolverlo.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4 de 5</w:t>
      </w:r>
    </w:p>
    <w:p>
      <w:r>
        <w:rPr>
          <w:b w:val="0"/>
          <w:i/>
          <w:color w:val="505050"/>
          <w:sz w:val="22"/>
        </w:rPr>
        <w:t>Bases d'un concurs microrelats</w:t>
      </w:r>
    </w:p>
    <w:p/>
    <w:p>
      <w:pPr>
        <w:ind w:left="283" w:right="283"/>
      </w:pPr>
      <w:r>
        <w:rPr>
          <w:b w:val="0"/>
          <w:sz w:val="24"/>
        </w:rPr>
        <w:t>4.1. Categoría Abierta</w:t>
        <w:br/>
        <w:t xml:space="preserve">4.1.1. Los microrrelatos deben constar de dos partes: un título y una narración.  </w:t>
        <w:br/>
        <w:t xml:space="preserve">4.1.2. Los microrrelatos deben tener una extensión máxima de 1.200 caracteres con espacios incluidos (sin contar los caracteres del título).  </w:t>
        <w:br/>
        <w:t xml:space="preserve">4.1.3. Los originales deben presentarse en un documento en formato Microsoft Word, con letra Arial, tamaño 12 y a doble espacio.  </w:t>
        <w:br/>
        <w:t>4.1.4. ENVÍO. Todos los originales deben enviarse por correo electrónico a la dirección &lt;microrelats@cal.cat&gt;.</w:t>
        <w:br/>
        <w:br/>
        <w:t xml:space="preserve">4.2. Categoría Xerrem  </w:t>
        <w:br/>
        <w:t xml:space="preserve">Para ello es necesario seguir el siguiente procedimiento:  </w:t>
        <w:br/>
        <w:t xml:space="preserve">En el apartado Asunto, debe indicarse el título del microrrelato y el nombre del autor o autora.  </w:t>
        <w:br/>
        <w:t xml:space="preserve">El original que opta a los premios del Concurso de Microrrelatos debe adjuntarse a este correo en formato Word.  </w:t>
        <w:br/>
        <w:t xml:space="preserve">En otro documento Word adjunto deben constar los datos que permitan identificar a los autores (nombre y apellidos, DNI, dirección postal, dirección de correo electrónico y teléfono).  </w:t>
        <w:br/>
        <w:t xml:space="preserve">Este documento debe nombrarse con la palabra Plica, seguida del título del microrrelato.  </w:t>
        <w:br/>
        <w:t>Una vez la organización del certamen haya recibido los originales, comunicará a los autores por correo electrónico la recepción y la admisión al concurso.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5 de 5</w:t>
      </w:r>
    </w:p>
    <w:p>
      <w:r>
        <w:rPr>
          <w:b w:val="0"/>
          <w:i/>
          <w:color w:val="505050"/>
          <w:sz w:val="22"/>
        </w:rPr>
        <w:t>Normativa activitat esportiva municipals</w:t>
      </w:r>
    </w:p>
    <w:p/>
    <w:p>
      <w:pPr>
        <w:ind w:left="283" w:right="283"/>
      </w:pPr>
      <w:r>
        <w:rPr>
          <w:b w:val="0"/>
          <w:sz w:val="24"/>
        </w:rPr>
        <w:t>NORMATIVA DE ACTIVIDADES ESPORTIVAS MUNICIPALES.</w:t>
        <w:br/>
        <w:br/>
        <w:t>Te informamos sobre las normas</w:t>
        <w:br/>
        <w:t>de las actividades esportivas municipales.</w:t>
        <w:br/>
        <w:br/>
        <w:t>Duración de las actividades.</w:t>
        <w:br/>
        <w:t>Las actividades duran desde octubre hasta junio.</w:t>
        <w:br/>
        <w:t>El pago se hace cada 3 meses.</w:t>
        <w:br/>
        <w:t>El primer pago se hace al inscribirse.</w:t>
        <w:br/>
        <w:t>Los pagos siguientes se hacen por domiciliación bancaria.</w:t>
        <w:br/>
        <w:br/>
        <w:t>Precio de las actividades.</w:t>
        <w:br/>
        <w:t>En enero, el precio puede subir</w:t>
        <w:br/>
        <w:t>según la inflación del año anterior.</w:t>
        <w:br/>
        <w:br/>
        <w:t>Baja de una actividad.</w:t>
        <w:br/>
        <w:t>Si no quieres seguir con una actividad,</w:t>
        <w:br/>
        <w:t>debes decirlo por escrito antes del día 15</w:t>
        <w:br/>
        <w:t>del último mes del trimestre.</w:t>
        <w:br/>
        <w:br/>
        <w:t>Seguro obligatorio.</w:t>
        <w:br/>
        <w:t>Todos los usuarios deben tener un seguro.</w:t>
        <w:br/>
        <w:t>El coste es de 3 euros cada 3 meses.</w:t>
        <w:br/>
        <w:t>En enero, el precio puede subir</w:t>
        <w:br/>
        <w:t>según la inflación del año anterior.</w:t>
        <w:br/>
        <w:br/>
        <w:t>No se devuelve el dinero.</w:t>
        <w:br/>
        <w:t>Una vez pagado, no se devuelve el dinero</w:t>
        <w:br/>
        <w:t>por ninguna baja.</w:t>
        <w:br/>
        <w:br/>
        <w:t>Mínimo de inscritos.</w:t>
        <w:br/>
        <w:t>Se necesita un mínimo de personas</w:t>
        <w:br/>
        <w:t>para que una actividad sea posible.</w:t>
        <w:br/>
        <w:br/>
        <w:t>Vestuarios.</w:t>
        <w:br/>
        <w:t>Puedes entrar en los vestuarios 15 minutos</w:t>
        <w:br/>
        <w:t>antes de la actividad.</w:t>
        <w:br/>
        <w:t>Después de la actividad, tienes 15 minutos</w:t>
        <w:br/>
        <w:t>para salir de los vestuarios.</w:t>
        <w:br/>
        <w:br/>
        <w:t>Cambio de ropa.</w:t>
        <w:br/>
        <w:t>Debes cambiarte en el vestuario asignado.</w:t>
        <w:br/>
        <w:t>Los padres no pueden cambiar a sus hijos</w:t>
        <w:br/>
        <w:t>en otros vestuarios.</w:t>
        <w:br/>
        <w:br/>
        <w:t>Duchas.</w:t>
        <w:br/>
        <w:t>Las duchas están cerradas durante las actividades.</w:t>
        <w:br/>
        <w:t>Los monitores te ayudarán a ducharte</w:t>
        <w:br/>
        <w:t>en la piscina.</w:t>
        <w:br/>
        <w:br/>
        <w:t>Uso de los vestuarios.</w:t>
        <w:br/>
        <w:t>Después de 15 minutos, el personal técnico</w:t>
        <w:br/>
        <w:t>revisa y desaloja los vestuarios.</w:t>
        <w:br/>
        <w:t>Los acompañantes de menores de 8 años</w:t>
        <w:br/>
        <w:t>deben salir del vestuario.</w:t>
        <w:br/>
        <w:br/>
        <w:t>Menores de 8 años.</w:t>
        <w:br/>
        <w:t>Los menores de 8 años pueden entrar</w:t>
        <w:br/>
        <w:t>en el vestuario con un adulto.</w:t>
        <w:br/>
        <w:t>A partir de los 8 años, deben ir solos.</w:t>
        <w:br/>
        <w:br/>
        <w:t>Equipo obligatorio.</w:t>
        <w:br/>
        <w:t>Debes llevar gorro de baño y chanclas.</w:t>
        <w:br/>
        <w:t>Se recomienda llevar gafas y bañador adecuado.</w:t>
        <w:br/>
        <w:br/>
        <w:t>Prohibiciones.</w:t>
        <w:br/>
        <w:t>No se permite comer ni beber</w:t>
        <w:br/>
        <w:t>en los vestuarios ni en la piscina.</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r>
        <w:br w:type="page"/>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