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65B2E" w14:textId="77777777" w:rsidR="00150E6C" w:rsidRPr="00150E6C" w:rsidRDefault="00150E6C" w:rsidP="00150E6C">
      <w:r w:rsidRPr="00150E6C">
        <w:t xml:space="preserve">A frase “O gato come…” ativa previsões diferentes dependendo do estilo (temperatura) de linguagem — mais </w:t>
      </w:r>
      <w:r w:rsidRPr="00150E6C">
        <w:rPr>
          <w:b/>
          <w:bCs/>
        </w:rPr>
        <w:t>criativa</w:t>
      </w:r>
      <w:r w:rsidRPr="00150E6C">
        <w:t xml:space="preserve"> ou mais </w:t>
      </w:r>
      <w:r w:rsidRPr="00150E6C">
        <w:rPr>
          <w:b/>
          <w:bCs/>
        </w:rPr>
        <w:t>técnica</w:t>
      </w:r>
      <w:r w:rsidRPr="00150E6C">
        <w:t>. Aqui vão 3 continuações prováveis, com justificativas:</w:t>
      </w:r>
    </w:p>
    <w:p w14:paraId="2C04F557" w14:textId="77777777" w:rsidR="00150E6C" w:rsidRPr="00150E6C" w:rsidRDefault="00150E6C" w:rsidP="00150E6C">
      <w:r w:rsidRPr="00150E6C">
        <w:pict w14:anchorId="1DCDB647">
          <v:rect id="_x0000_i1049" style="width:0;height:1.5pt" o:hralign="center" o:hrstd="t" o:hr="t" fillcolor="#a0a0a0" stroked="f"/>
        </w:pict>
      </w:r>
    </w:p>
    <w:p w14:paraId="5544C75F" w14:textId="77777777" w:rsidR="00150E6C" w:rsidRPr="00150E6C" w:rsidRDefault="00150E6C" w:rsidP="00150E6C">
      <w:pPr>
        <w:rPr>
          <w:b/>
          <w:bCs/>
        </w:rPr>
      </w:pPr>
      <w:r w:rsidRPr="00150E6C">
        <w:rPr>
          <w:rFonts w:ascii="Segoe UI Emoji" w:hAnsi="Segoe UI Emoji" w:cs="Segoe UI Emoji"/>
          <w:b/>
          <w:bCs/>
        </w:rPr>
        <w:t>🔹</w:t>
      </w:r>
      <w:r w:rsidRPr="00150E6C">
        <w:rPr>
          <w:b/>
          <w:bCs/>
        </w:rPr>
        <w:t xml:space="preserve"> Continuação 1: “rato”</w:t>
      </w:r>
    </w:p>
    <w:p w14:paraId="4AA16D44" w14:textId="77777777" w:rsidR="00150E6C" w:rsidRPr="00150E6C" w:rsidRDefault="00150E6C" w:rsidP="00150E6C">
      <w:pPr>
        <w:numPr>
          <w:ilvl w:val="0"/>
          <w:numId w:val="1"/>
        </w:numPr>
      </w:pPr>
      <w:r w:rsidRPr="00150E6C">
        <w:rPr>
          <w:b/>
          <w:bCs/>
        </w:rPr>
        <w:t>Probabilidade:</w:t>
      </w:r>
      <w:r w:rsidRPr="00150E6C">
        <w:t xml:space="preserve"> Alta (especialmente em contexto narrativo ou cultural)</w:t>
      </w:r>
    </w:p>
    <w:p w14:paraId="2DE996CE" w14:textId="77777777" w:rsidR="00150E6C" w:rsidRPr="00150E6C" w:rsidRDefault="00150E6C" w:rsidP="00150E6C">
      <w:pPr>
        <w:numPr>
          <w:ilvl w:val="0"/>
          <w:numId w:val="1"/>
        </w:numPr>
      </w:pPr>
      <w:r w:rsidRPr="00150E6C">
        <w:rPr>
          <w:b/>
          <w:bCs/>
        </w:rPr>
        <w:t>Justificativa lógica:</w:t>
      </w:r>
      <w:r w:rsidRPr="00150E6C">
        <w:t xml:space="preserve"> Existe uma associação clássica entre gatos e ratos (predador–presa). Mesmo que gatos domésticos nem sempre comam ratos, a relação é fortemente enraizada em histórias, desenhos e linguagem comum.</w:t>
      </w:r>
    </w:p>
    <w:p w14:paraId="754B3327" w14:textId="77777777" w:rsidR="00150E6C" w:rsidRPr="00150E6C" w:rsidRDefault="00150E6C" w:rsidP="00150E6C">
      <w:r w:rsidRPr="00150E6C">
        <w:rPr>
          <w:b/>
          <w:bCs/>
        </w:rPr>
        <w:t>Temperatura:</w:t>
      </w:r>
    </w:p>
    <w:p w14:paraId="60F64299" w14:textId="77777777" w:rsidR="00150E6C" w:rsidRPr="00150E6C" w:rsidRDefault="00150E6C" w:rsidP="00150E6C">
      <w:pPr>
        <w:numPr>
          <w:ilvl w:val="0"/>
          <w:numId w:val="2"/>
        </w:numPr>
      </w:pPr>
      <w:r w:rsidRPr="00150E6C">
        <w:rPr>
          <w:b/>
          <w:bCs/>
        </w:rPr>
        <w:t>Criativa:</w:t>
      </w:r>
      <w:r w:rsidRPr="00150E6C">
        <w:t xml:space="preserve"> Muito favorecida (imagética, narrativa, quase “instintiva”)</w:t>
      </w:r>
    </w:p>
    <w:p w14:paraId="6265C2EB" w14:textId="77777777" w:rsidR="00150E6C" w:rsidRPr="00150E6C" w:rsidRDefault="00150E6C" w:rsidP="00150E6C">
      <w:pPr>
        <w:numPr>
          <w:ilvl w:val="0"/>
          <w:numId w:val="2"/>
        </w:numPr>
      </w:pPr>
      <w:r w:rsidRPr="00150E6C">
        <w:rPr>
          <w:b/>
          <w:bCs/>
        </w:rPr>
        <w:t>Técnica:</w:t>
      </w:r>
      <w:r w:rsidRPr="00150E6C">
        <w:t xml:space="preserve"> Menos favorecida (não é a resposta mais comum em contextos reais de alimentação doméstica)</w:t>
      </w:r>
    </w:p>
    <w:p w14:paraId="74F39B51" w14:textId="77777777" w:rsidR="00150E6C" w:rsidRPr="00150E6C" w:rsidRDefault="00150E6C" w:rsidP="00150E6C">
      <w:r w:rsidRPr="00150E6C">
        <w:pict w14:anchorId="77D6860D">
          <v:rect id="_x0000_i1050" style="width:0;height:1.5pt" o:hralign="center" o:hrstd="t" o:hr="t" fillcolor="#a0a0a0" stroked="f"/>
        </w:pict>
      </w:r>
    </w:p>
    <w:p w14:paraId="409A6C7C" w14:textId="77777777" w:rsidR="00150E6C" w:rsidRPr="00150E6C" w:rsidRDefault="00150E6C" w:rsidP="00150E6C">
      <w:pPr>
        <w:rPr>
          <w:b/>
          <w:bCs/>
        </w:rPr>
      </w:pPr>
      <w:r w:rsidRPr="00150E6C">
        <w:rPr>
          <w:rFonts w:ascii="Segoe UI Emoji" w:hAnsi="Segoe UI Emoji" w:cs="Segoe UI Emoji"/>
          <w:b/>
          <w:bCs/>
        </w:rPr>
        <w:t>🔹</w:t>
      </w:r>
      <w:r w:rsidRPr="00150E6C">
        <w:rPr>
          <w:b/>
          <w:bCs/>
        </w:rPr>
        <w:t xml:space="preserve"> Continuação 2: “ração”</w:t>
      </w:r>
    </w:p>
    <w:p w14:paraId="7F40A6D6" w14:textId="77777777" w:rsidR="00150E6C" w:rsidRPr="00150E6C" w:rsidRDefault="00150E6C" w:rsidP="00150E6C">
      <w:pPr>
        <w:numPr>
          <w:ilvl w:val="0"/>
          <w:numId w:val="3"/>
        </w:numPr>
      </w:pPr>
      <w:r w:rsidRPr="00150E6C">
        <w:rPr>
          <w:b/>
          <w:bCs/>
        </w:rPr>
        <w:t>Probabilidade:</w:t>
      </w:r>
      <w:r w:rsidRPr="00150E6C">
        <w:t xml:space="preserve"> Muito alta (contexto realista/moderno)</w:t>
      </w:r>
    </w:p>
    <w:p w14:paraId="6E4D5F1E" w14:textId="77777777" w:rsidR="00150E6C" w:rsidRPr="00150E6C" w:rsidRDefault="00150E6C" w:rsidP="00150E6C">
      <w:pPr>
        <w:numPr>
          <w:ilvl w:val="0"/>
          <w:numId w:val="3"/>
        </w:numPr>
      </w:pPr>
      <w:r w:rsidRPr="00150E6C">
        <w:rPr>
          <w:b/>
          <w:bCs/>
        </w:rPr>
        <w:t>Justificativa lógica:</w:t>
      </w:r>
      <w:r w:rsidRPr="00150E6C">
        <w:t xml:space="preserve"> A maioria dos gatos domésticos se alimenta de ração. Em textos informativos ou cotidianos, essa é a continuação mais direta e plausível.</w:t>
      </w:r>
    </w:p>
    <w:p w14:paraId="2946FA03" w14:textId="77777777" w:rsidR="00150E6C" w:rsidRPr="00150E6C" w:rsidRDefault="00150E6C" w:rsidP="00150E6C">
      <w:r w:rsidRPr="00150E6C">
        <w:rPr>
          <w:b/>
          <w:bCs/>
        </w:rPr>
        <w:t>Temperatura:</w:t>
      </w:r>
    </w:p>
    <w:p w14:paraId="22F1FF29" w14:textId="77777777" w:rsidR="00150E6C" w:rsidRPr="00150E6C" w:rsidRDefault="00150E6C" w:rsidP="00150E6C">
      <w:pPr>
        <w:numPr>
          <w:ilvl w:val="0"/>
          <w:numId w:val="4"/>
        </w:numPr>
      </w:pPr>
      <w:r w:rsidRPr="00150E6C">
        <w:rPr>
          <w:b/>
          <w:bCs/>
        </w:rPr>
        <w:t>Criativa:</w:t>
      </w:r>
      <w:r w:rsidRPr="00150E6C">
        <w:t xml:space="preserve"> Média (pouco imaginativa, mas possível)</w:t>
      </w:r>
    </w:p>
    <w:p w14:paraId="38D698F8" w14:textId="77777777" w:rsidR="00150E6C" w:rsidRPr="00150E6C" w:rsidRDefault="00150E6C" w:rsidP="00150E6C">
      <w:pPr>
        <w:numPr>
          <w:ilvl w:val="0"/>
          <w:numId w:val="4"/>
        </w:numPr>
      </w:pPr>
      <w:r w:rsidRPr="00150E6C">
        <w:rPr>
          <w:b/>
          <w:bCs/>
        </w:rPr>
        <w:t>Técnica:</w:t>
      </w:r>
      <w:r w:rsidRPr="00150E6C">
        <w:t xml:space="preserve"> Muito favorecida (precisa, baseada em hábitos reais)</w:t>
      </w:r>
    </w:p>
    <w:p w14:paraId="1BB72A1A" w14:textId="77777777" w:rsidR="00150E6C" w:rsidRPr="00150E6C" w:rsidRDefault="00150E6C" w:rsidP="00150E6C">
      <w:r w:rsidRPr="00150E6C">
        <w:pict w14:anchorId="7BE18CC4">
          <v:rect id="_x0000_i1051" style="width:0;height:1.5pt" o:hralign="center" o:hrstd="t" o:hr="t" fillcolor="#a0a0a0" stroked="f"/>
        </w:pict>
      </w:r>
    </w:p>
    <w:p w14:paraId="5CD6F046" w14:textId="77777777" w:rsidR="00150E6C" w:rsidRPr="00150E6C" w:rsidRDefault="00150E6C" w:rsidP="00150E6C">
      <w:pPr>
        <w:rPr>
          <w:b/>
          <w:bCs/>
        </w:rPr>
      </w:pPr>
      <w:r w:rsidRPr="00150E6C">
        <w:rPr>
          <w:rFonts w:ascii="Segoe UI Emoji" w:hAnsi="Segoe UI Emoji" w:cs="Segoe UI Emoji"/>
          <w:b/>
          <w:bCs/>
        </w:rPr>
        <w:t>🔹</w:t>
      </w:r>
      <w:r w:rsidRPr="00150E6C">
        <w:rPr>
          <w:b/>
          <w:bCs/>
        </w:rPr>
        <w:t xml:space="preserve"> Continuação 3: “peixe”</w:t>
      </w:r>
    </w:p>
    <w:p w14:paraId="3CCC9C8D" w14:textId="77777777" w:rsidR="00150E6C" w:rsidRPr="00150E6C" w:rsidRDefault="00150E6C" w:rsidP="00150E6C">
      <w:pPr>
        <w:numPr>
          <w:ilvl w:val="0"/>
          <w:numId w:val="5"/>
        </w:numPr>
      </w:pPr>
      <w:r w:rsidRPr="00150E6C">
        <w:rPr>
          <w:b/>
          <w:bCs/>
        </w:rPr>
        <w:t>Probabilidade:</w:t>
      </w:r>
      <w:r w:rsidRPr="00150E6C">
        <w:t xml:space="preserve"> Alta (associação cultural + plausibilidade alimentar)</w:t>
      </w:r>
    </w:p>
    <w:p w14:paraId="109E8F03" w14:textId="77777777" w:rsidR="00150E6C" w:rsidRPr="00150E6C" w:rsidRDefault="00150E6C" w:rsidP="00150E6C">
      <w:pPr>
        <w:numPr>
          <w:ilvl w:val="0"/>
          <w:numId w:val="5"/>
        </w:numPr>
      </w:pPr>
      <w:r w:rsidRPr="00150E6C">
        <w:rPr>
          <w:b/>
          <w:bCs/>
        </w:rPr>
        <w:t>Justificativa lógica:</w:t>
      </w:r>
      <w:r w:rsidRPr="00150E6C">
        <w:t xml:space="preserve"> Peixe é frequentemente associado à dieta de gatos (embora não seja exclusivo nem obrigatório). Aparece bastante em mídia, marcas de ração e senso comum.</w:t>
      </w:r>
    </w:p>
    <w:p w14:paraId="2DE12C00" w14:textId="77777777" w:rsidR="00150E6C" w:rsidRPr="00150E6C" w:rsidRDefault="00150E6C" w:rsidP="00150E6C">
      <w:r w:rsidRPr="00150E6C">
        <w:rPr>
          <w:b/>
          <w:bCs/>
        </w:rPr>
        <w:t>Temperatura:</w:t>
      </w:r>
    </w:p>
    <w:p w14:paraId="3261C189" w14:textId="77777777" w:rsidR="00150E6C" w:rsidRPr="00150E6C" w:rsidRDefault="00150E6C" w:rsidP="00150E6C">
      <w:pPr>
        <w:numPr>
          <w:ilvl w:val="0"/>
          <w:numId w:val="6"/>
        </w:numPr>
      </w:pPr>
      <w:r w:rsidRPr="00150E6C">
        <w:rPr>
          <w:b/>
          <w:bCs/>
        </w:rPr>
        <w:t>Criativa:</w:t>
      </w:r>
      <w:r w:rsidRPr="00150E6C">
        <w:t xml:space="preserve"> Alta (evoca imagens, estereótipos positivos)</w:t>
      </w:r>
    </w:p>
    <w:p w14:paraId="6B4A6DD3" w14:textId="77777777" w:rsidR="00150E6C" w:rsidRPr="00150E6C" w:rsidRDefault="00150E6C" w:rsidP="00150E6C">
      <w:pPr>
        <w:numPr>
          <w:ilvl w:val="0"/>
          <w:numId w:val="6"/>
        </w:numPr>
      </w:pPr>
      <w:r w:rsidRPr="00150E6C">
        <w:rPr>
          <w:b/>
          <w:bCs/>
        </w:rPr>
        <w:t>Técnica:</w:t>
      </w:r>
      <w:r w:rsidRPr="00150E6C">
        <w:t xml:space="preserve"> Média (correta, mas não tão precisa quanto “ração” no cotidiano)</w:t>
      </w:r>
    </w:p>
    <w:p w14:paraId="21641551" w14:textId="77777777" w:rsidR="00150E6C" w:rsidRPr="00150E6C" w:rsidRDefault="00150E6C" w:rsidP="00150E6C">
      <w:r w:rsidRPr="00150E6C">
        <w:lastRenderedPageBreak/>
        <w:pict w14:anchorId="16E238B6">
          <v:rect id="_x0000_i1052" style="width:0;height:1.5pt" o:hralign="center" o:hrstd="t" o:hr="t" fillcolor="#a0a0a0" stroked="f"/>
        </w:pict>
      </w:r>
    </w:p>
    <w:p w14:paraId="17927A01" w14:textId="77777777" w:rsidR="00150E6C" w:rsidRPr="00150E6C" w:rsidRDefault="00150E6C" w:rsidP="00150E6C">
      <w:pPr>
        <w:rPr>
          <w:b/>
          <w:bCs/>
        </w:rPr>
      </w:pPr>
      <w:r w:rsidRPr="00150E6C">
        <w:rPr>
          <w:rFonts w:ascii="Segoe UI Emoji" w:hAnsi="Segoe UI Emoji" w:cs="Segoe UI Emoji"/>
          <w:b/>
          <w:bCs/>
        </w:rPr>
        <w:t>🧠</w:t>
      </w:r>
      <w:r w:rsidRPr="00150E6C">
        <w:rPr>
          <w:b/>
          <w:bCs/>
        </w:rPr>
        <w:t xml:space="preserve"> Resumo da diferença de “temperatura”</w:t>
      </w:r>
    </w:p>
    <w:p w14:paraId="695F26F7" w14:textId="77777777" w:rsidR="00150E6C" w:rsidRPr="00150E6C" w:rsidRDefault="00150E6C" w:rsidP="00150E6C">
      <w:pPr>
        <w:numPr>
          <w:ilvl w:val="0"/>
          <w:numId w:val="7"/>
        </w:numPr>
      </w:pPr>
      <w:r w:rsidRPr="00150E6C">
        <w:rPr>
          <w:b/>
          <w:bCs/>
        </w:rPr>
        <w:t>Baixa temperatura (técnica):</w:t>
      </w:r>
      <w:r w:rsidRPr="00150E6C">
        <w:t xml:space="preserve"> privilegia respostas mais prováveis, comuns e factuais → </w:t>
      </w:r>
      <w:r w:rsidRPr="00150E6C">
        <w:rPr>
          <w:i/>
          <w:iCs/>
        </w:rPr>
        <w:t>“ração”</w:t>
      </w:r>
    </w:p>
    <w:p w14:paraId="0266D130" w14:textId="77777777" w:rsidR="00150E6C" w:rsidRPr="00150E6C" w:rsidRDefault="00150E6C" w:rsidP="00150E6C">
      <w:pPr>
        <w:numPr>
          <w:ilvl w:val="0"/>
          <w:numId w:val="7"/>
        </w:numPr>
      </w:pPr>
      <w:r w:rsidRPr="00150E6C">
        <w:rPr>
          <w:b/>
          <w:bCs/>
        </w:rPr>
        <w:t>Alta temperatura (criativa):</w:t>
      </w:r>
      <w:r w:rsidRPr="00150E6C">
        <w:t xml:space="preserve"> permite associações culturais, narrativas ou estereotípicas → </w:t>
      </w:r>
      <w:r w:rsidRPr="00150E6C">
        <w:rPr>
          <w:i/>
          <w:iCs/>
        </w:rPr>
        <w:t>“rato”, “peixe”</w:t>
      </w:r>
    </w:p>
    <w:p w14:paraId="3D73D0CA" w14:textId="77777777" w:rsidR="00150E6C" w:rsidRPr="00150E6C" w:rsidRDefault="00150E6C" w:rsidP="00150E6C">
      <w:r w:rsidRPr="00150E6C">
        <w:t>Se quiser, posso gerar mais exemplos mudando o contexto (humorístico, científico, infantil, etc.).</w:t>
      </w:r>
    </w:p>
    <w:p w14:paraId="76FA614D" w14:textId="004AA394" w:rsidR="00FD2FF8" w:rsidRDefault="00FD2FF8"/>
    <w:sectPr w:rsidR="00FD2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809F0"/>
    <w:multiLevelType w:val="multilevel"/>
    <w:tmpl w:val="BAAE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513BD"/>
    <w:multiLevelType w:val="multilevel"/>
    <w:tmpl w:val="D3BA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060E5"/>
    <w:multiLevelType w:val="multilevel"/>
    <w:tmpl w:val="E5C0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32C7C"/>
    <w:multiLevelType w:val="multilevel"/>
    <w:tmpl w:val="BB8A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B0E4B"/>
    <w:multiLevelType w:val="multilevel"/>
    <w:tmpl w:val="2506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61AB9"/>
    <w:multiLevelType w:val="multilevel"/>
    <w:tmpl w:val="C75C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C362F"/>
    <w:multiLevelType w:val="multilevel"/>
    <w:tmpl w:val="C42C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723828">
    <w:abstractNumId w:val="0"/>
  </w:num>
  <w:num w:numId="2" w16cid:durableId="2022929204">
    <w:abstractNumId w:val="2"/>
  </w:num>
  <w:num w:numId="3" w16cid:durableId="2092968251">
    <w:abstractNumId w:val="4"/>
  </w:num>
  <w:num w:numId="4" w16cid:durableId="1895656737">
    <w:abstractNumId w:val="5"/>
  </w:num>
  <w:num w:numId="5" w16cid:durableId="1976326309">
    <w:abstractNumId w:val="3"/>
  </w:num>
  <w:num w:numId="6" w16cid:durableId="2112237658">
    <w:abstractNumId w:val="6"/>
  </w:num>
  <w:num w:numId="7" w16cid:durableId="732392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9B6"/>
    <w:rsid w:val="001209B6"/>
    <w:rsid w:val="00150E6C"/>
    <w:rsid w:val="00204FEA"/>
    <w:rsid w:val="00C87C43"/>
    <w:rsid w:val="00F60347"/>
    <w:rsid w:val="00FB2BFA"/>
    <w:rsid w:val="00FD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39C8F"/>
  <w15:chartTrackingRefBased/>
  <w15:docId w15:val="{1F692F12-1EA7-449F-9F17-68768BBD3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D783F0D2072448B4D54810192DF640" ma:contentTypeVersion="5" ma:contentTypeDescription="Create a new document." ma:contentTypeScope="" ma:versionID="97b12f432a821b3e0d1a78211171adf4">
  <xsd:schema xmlns:xsd="http://www.w3.org/2001/XMLSchema" xmlns:xs="http://www.w3.org/2001/XMLSchema" xmlns:p="http://schemas.microsoft.com/office/2006/metadata/properties" xmlns:ns3="b3446edf-46b3-4333-89c2-972b9a380276" targetNamespace="http://schemas.microsoft.com/office/2006/metadata/properties" ma:root="true" ma:fieldsID="ab4f02f6627f01308a6b9db39f99673c" ns3:_="">
    <xsd:import namespace="b3446edf-46b3-4333-89c2-972b9a38027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46edf-46b3-4333-89c2-972b9a38027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446edf-46b3-4333-89c2-972b9a380276" xsi:nil="true"/>
  </documentManagement>
</p:properties>
</file>

<file path=customXml/itemProps1.xml><?xml version="1.0" encoding="utf-8"?>
<ds:datastoreItem xmlns:ds="http://schemas.openxmlformats.org/officeDocument/2006/customXml" ds:itemID="{7A0EA1AF-C2FB-40B6-A4DD-32484EC17B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446edf-46b3-4333-89c2-972b9a3802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A73B55-4355-4EEB-BD8E-2292F9844D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659404-4FDE-4F68-AEBF-787C4E03F546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elements/1.1/"/>
    <ds:schemaRef ds:uri="b3446edf-46b3-4333-89c2-972b9a380276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1524</Characters>
  <Application>Microsoft Office Word</Application>
  <DocSecurity>0</DocSecurity>
  <Lines>12</Lines>
  <Paragraphs>3</Paragraphs>
  <ScaleCrop>false</ScaleCrop>
  <Company>IBM Corporation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RIBEIRO SILVA  ALVES SARAIVA</dc:creator>
  <cp:keywords/>
  <dc:description/>
  <cp:lastModifiedBy>LUCAS RIBEIRO SILVA  ALVES SARAIVA</cp:lastModifiedBy>
  <cp:revision>2</cp:revision>
  <dcterms:created xsi:type="dcterms:W3CDTF">2026-04-01T17:26:00Z</dcterms:created>
  <dcterms:modified xsi:type="dcterms:W3CDTF">2026-04-01T17:26:00Z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0x010100CDD783F0D2072448B4D54810192DF640</vt:lpwstr>
  </property>
</Properties>
</file>