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HISTÓRICO</w:t>
      </w:r>
    </w:p>
    <w:p w:rsidR="00665FC5" w:rsidRDefault="008E518C">
      <w:pPr>
        <w:spacing w:after="0" w:line="240" w:lineRule="auto"/>
        <w:jc w:val="both"/>
      </w:pPr>
      <w:r w:rsidRPr="008E518C">
        <w:rPr>
          <w:rFonts w:ascii="Times-Roman" w:eastAsia="Times-Roman" w:hAnsi="Times-Roman" w:cs="Times-Roman"/>
          <w:sz w:val="24"/>
        </w:rPr>
        <w:t>Em atendimento à requisição da Autoridade supramencionada e cumprindo determinação da Chefia desta Unidade Pericial, o Perito Criminal, signatário do presente laudo procedeu ao exame que se fazia necessário, passando a expor o que foi possível constatar.</w:t>
      </w:r>
      <w:r w:rsidR="00E7218C">
        <w:rPr>
          <w:rFonts w:ascii="Times-Roman" w:eastAsia="Times-Roman" w:hAnsi="Times-Roman" w:cs="Times-Roman"/>
          <w:sz w:val="24"/>
        </w:rPr>
        <w:t xml:space="preserve">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OBJETIVO PERICIAL</w:t>
      </w:r>
    </w:p>
    <w:p w:rsidR="008E518C" w:rsidRDefault="008E518C" w:rsidP="00602B46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8E518C">
        <w:rPr>
          <w:rFonts w:ascii="Times-Roman" w:eastAsia="Times-Roman" w:hAnsi="Times-Roman" w:cs="Times-Roman"/>
          <w:sz w:val="24"/>
        </w:rPr>
        <w:t>Identificar a arma de fogo e/ou munição encaminhadas, constando as características e número de série, realizar testes de ensaios controlados, com o intuito de verificar a eficiência ou não do material examinado.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MATERIAL EXAMINADO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Material recebido: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{#</w:t>
      </w:r>
      <w:proofErr w:type="spellStart"/>
      <w:r w:rsidRPr="007752DC">
        <w:rPr>
          <w:rFonts w:ascii="Times-Roman" w:eastAsia="Times-Roman" w:hAnsi="Times-Roman" w:cs="Times-Roman"/>
          <w:sz w:val="24"/>
        </w:rPr>
        <w:t>tem_imagem</w:t>
      </w:r>
      <w:proofErr w:type="spellEnd"/>
      <w:r w:rsidRPr="007752DC">
        <w:rPr>
          <w:rFonts w:ascii="Times-Roman" w:eastAsia="Times-Roman" w:hAnsi="Times-Roman" w:cs="Times-Roman"/>
          <w:sz w:val="24"/>
        </w:rPr>
        <w:t>}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{%</w:t>
      </w:r>
      <w:proofErr w:type="spellStart"/>
      <w:r w:rsidRPr="007752DC">
        <w:rPr>
          <w:rFonts w:ascii="Times-Roman" w:eastAsia="Times-Roman" w:hAnsi="Times-Roman" w:cs="Times-Roman"/>
          <w:sz w:val="24"/>
        </w:rPr>
        <w:t>imagem_vestigio</w:t>
      </w:r>
      <w:proofErr w:type="spellEnd"/>
      <w:r w:rsidRPr="007752DC">
        <w:rPr>
          <w:rFonts w:ascii="Times-Roman" w:eastAsia="Times-Roman" w:hAnsi="Times-Roman" w:cs="Times-Roman"/>
          <w:sz w:val="24"/>
        </w:rPr>
        <w:t>}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jc w:val="center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Figura 1 - Material enviado a exames periciais.</w:t>
      </w:r>
    </w:p>
    <w:p w:rsid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{/</w:t>
      </w:r>
      <w:proofErr w:type="spellStart"/>
      <w:r w:rsidRPr="007752DC">
        <w:rPr>
          <w:rFonts w:ascii="Times-Roman" w:eastAsia="Times-Roman" w:hAnsi="Times-Roman" w:cs="Times-Roman"/>
          <w:sz w:val="24"/>
        </w:rPr>
        <w:t>tem_imagem</w:t>
      </w:r>
      <w:proofErr w:type="spellEnd"/>
      <w:r w:rsidRPr="007752DC">
        <w:rPr>
          <w:rFonts w:ascii="Times-Roman" w:eastAsia="Times-Roman" w:hAnsi="Times-Roman" w:cs="Times-Roman"/>
          <w:sz w:val="24"/>
        </w:rPr>
        <w:t>}</w:t>
      </w:r>
    </w:p>
    <w:p w:rsidR="00963B21" w:rsidRDefault="00963B21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963B21">
        <w:rPr>
          <w:rFonts w:ascii="Times-Roman" w:eastAsia="Times-Roman" w:hAnsi="Times-Roman" w:cs="Times-Roman"/>
          <w:sz w:val="24"/>
        </w:rPr>
        <w:t>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}a) 01 (uma) carabina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tipo_acao_carabina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detalhes_coronha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alimentação por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sistema_alimentacao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capacidade (aferida) de {capacidade} cartuchos, cano medindo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}b) 01 (um) revólver{#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numeração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acabamento {acabamento}, capacidade para {capacidade} cartuchos,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empunhadura_revolver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963B21">
        <w:rPr>
          <w:rFonts w:ascii="Times-Roman" w:eastAsia="Times-Roman" w:hAnsi="Times-Roman" w:cs="Times-Roman"/>
          <w:sz w:val="24"/>
        </w:rPr>
        <w:t>}c) 01 (uma) pistola semiautomática{#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acabamento {</w:t>
      </w:r>
      <w:r w:rsidR="00CD1695">
        <w:rPr>
          <w:rFonts w:ascii="Times-Roman" w:eastAsia="Times-Roman" w:hAnsi="Times-Roman" w:cs="Times-Roman"/>
          <w:sz w:val="24"/>
        </w:rPr>
        <w:t>acabamento}, {</w:t>
      </w:r>
      <w:proofErr w:type="spellStart"/>
      <w:r w:rsidR="00CD1695">
        <w:rPr>
          <w:rFonts w:ascii="Times-Roman" w:eastAsia="Times-Roman" w:hAnsi="Times-Roman" w:cs="Times-Roman"/>
          <w:sz w:val="24"/>
        </w:rPr>
        <w:t>detalhes_armacao</w:t>
      </w:r>
      <w:proofErr w:type="spellEnd"/>
      <w:r w:rsidR="00CD1695">
        <w:rPr>
          <w:rFonts w:ascii="Times-Roman" w:eastAsia="Times-Roman" w:hAnsi="Times-Roman" w:cs="Times-Roman"/>
          <w:sz w:val="24"/>
        </w:rPr>
        <w:t xml:space="preserve">}, </w:t>
      </w:r>
      <w:r w:rsidRPr="00963B21">
        <w:rPr>
          <w:rFonts w:ascii="Times-Roman" w:eastAsia="Times-Roman" w:hAnsi="Times-Roman" w:cs="Times-Roman"/>
          <w:sz w:val="24"/>
        </w:rPr>
        <w:t>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carregador_info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  <w:r w:rsidR="00CD1695">
        <w:rPr>
          <w:rFonts w:ascii="Times-Roman" w:eastAsia="Times-Roman" w:hAnsi="Times-Roman" w:cs="Times-Roman"/>
          <w:sz w:val="24"/>
        </w:rPr>
        <w:t>.</w:t>
      </w:r>
      <w:bookmarkStart w:id="0" w:name="_GoBack"/>
      <w:bookmarkEnd w:id="0"/>
      <w:r w:rsidRPr="00963B21">
        <w:rPr>
          <w:rFonts w:ascii="Times-Roman" w:eastAsia="Times-Roman" w:hAnsi="Times-Roman" w:cs="Times-Roman"/>
          <w:sz w:val="24"/>
        </w:rPr>
        <w:t xml:space="preserve">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}d) 01 (um) fuzil semiautomático{#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detalhes_fuzil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de comprimento (todas as medidas aproximadas);{/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  <w:r w:rsidR="00EA591D" w:rsidRPr="00EA591D">
        <w:t xml:space="preserve"> </w:t>
      </w:r>
      <w:r w:rsidR="00EA591D" w:rsidRPr="00EA591D">
        <w:rPr>
          <w:rFonts w:ascii="Times-Roman" w:eastAsia="Times-Roman" w:hAnsi="Times-Roman" w:cs="Times-Roman"/>
          <w:sz w:val="24"/>
        </w:rPr>
        <w:t>e) {</w:t>
      </w:r>
      <w:proofErr w:type="spellStart"/>
      <w:r w:rsidR="00EA591D" w:rsidRPr="00EA591D">
        <w:rPr>
          <w:rFonts w:ascii="Times-Roman" w:eastAsia="Times-Roman" w:hAnsi="Times-Roman" w:cs="Times-Roman"/>
          <w:sz w:val="24"/>
        </w:rPr>
        <w:t>municoes_detalhes</w:t>
      </w:r>
      <w:proofErr w:type="spellEnd"/>
      <w:r w:rsidR="00EA591D" w:rsidRPr="00EA591D">
        <w:rPr>
          <w:rFonts w:ascii="Times-Roman" w:eastAsia="Times-Roman" w:hAnsi="Times-Roman" w:cs="Times-Roman"/>
          <w:sz w:val="24"/>
        </w:rPr>
        <w:t xml:space="preserve">} </w:t>
      </w:r>
      <w:r w:rsidRPr="00963B21">
        <w:rPr>
          <w:rFonts w:ascii="Times-Roman" w:eastAsia="Times-Roman" w:hAnsi="Times-Roman" w:cs="Times-Roman"/>
          <w:sz w:val="24"/>
        </w:rPr>
        <w:t>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963B21">
        <w:rPr>
          <w:rFonts w:ascii="Times-Roman" w:eastAsia="Times-Roman" w:hAnsi="Times-Roman" w:cs="Times-Roman"/>
          <w:sz w:val="24"/>
        </w:rPr>
        <w:t>}f) 01 (uma)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nome_arma_livre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descricao_livre</w:t>
      </w:r>
      <w:proofErr w:type="spellEnd"/>
      <w:r w:rsidRPr="00963B21">
        <w:rPr>
          <w:rFonts w:ascii="Times-Roman" w:eastAsia="Times-Roman" w:hAnsi="Times-Roman" w:cs="Times-Roman"/>
          <w:sz w:val="24"/>
        </w:rPr>
        <w:t xml:space="preserve">}, cano </w:t>
      </w:r>
      <w:r w:rsidRPr="00963B21">
        <w:rPr>
          <w:rFonts w:ascii="Times-Roman" w:eastAsia="Times-Roman" w:hAnsi="Times-Roman" w:cs="Times-Roman"/>
          <w:sz w:val="24"/>
        </w:rPr>
        <w:lastRenderedPageBreak/>
        <w:t>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963B21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TÉCNICA(S) UTILIZADA(S)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Foram utilizados durante a realização dos exames os seguintes equipamentos, ferramentas e utensílios: lupa simples; lanternas; régua; trena; câmera fotográfica; paquímetro.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Os exames restringiram-se à realização de disparos horizontais a fim de verificar se houve a percussão e a deflagração das munições relacionadas.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INICIAIS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Estabelecido o objetivo pericial e utilizando os recursos disponíveis na seção, 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perito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realizou metódico e crit</w:t>
      </w:r>
      <w:r w:rsidR="00602B46">
        <w:rPr>
          <w:rFonts w:ascii="Times-Roman" w:eastAsia="Times-Roman" w:hAnsi="Times-Roman" w:cs="Times-Roman"/>
          <w:sz w:val="24"/>
        </w:rPr>
        <w:t>erioso exame na peça acima discriminada</w:t>
      </w:r>
      <w:r>
        <w:rPr>
          <w:rFonts w:ascii="Times-Roman" w:eastAsia="Times-Roman" w:hAnsi="Times-Roman" w:cs="Times-Roman"/>
          <w:sz w:val="24"/>
        </w:rPr>
        <w:t xml:space="preserve">, ponderando as evidências constatadas. Após as análises, obteve a convicção necessária para expor o resultado no tópico seguinte.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RESULTADOS DOS EXAMES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e/ou munição em questão foram efetuados disparos, verificando os examinadores que esta podia ser utilizada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Constatou o signatário que a arma de fogo, alvo deste exame, foi INEFICIENTE para propelir projéteis em virtude de vicissitudes generalizadas, em especial o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defeito_constatado</w:t>
      </w:r>
      <w:proofErr w:type="spellEnd"/>
      <w:r w:rsidRPr="00DF52EE">
        <w:rPr>
          <w:rFonts w:ascii="Times-Roman" w:eastAsia="Times-Roman" w:hAnsi="Times-Roman" w:cs="Times-Roman"/>
          <w:sz w:val="24"/>
        </w:rPr>
        <w:t>}.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 pistola, alvo deste exame, não calçou nenhum dos calibres disponíveis nesta 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STBIAM</w:t>
      </w:r>
      <w:proofErr w:type="spellEnd"/>
      <w:r w:rsidRPr="00DF52EE">
        <w:rPr>
          <w:rFonts w:ascii="Times-Roman" w:eastAsia="Times-Roman" w:hAnsi="Times-Roman" w:cs="Times-Roman"/>
          <w:sz w:val="24"/>
        </w:rPr>
        <w:t>/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STRC</w:t>
      </w:r>
      <w:proofErr w:type="spellEnd"/>
      <w:r w:rsidRPr="00DF52EE">
        <w:rPr>
          <w:rFonts w:ascii="Times-Roman" w:eastAsia="Times-Roman" w:hAnsi="Times-Roman" w:cs="Times-Roman"/>
          <w:sz w:val="24"/>
        </w:rPr>
        <w:t>, impossibilitando, portanto, a realização de exames de eficiência nesta.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A732D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de fogo em questão foram efetuados disparos em modo semiautomático e automático, verificando os examinadores que a mesma podia ser utilizada em ambos os modos de disparo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lastRenderedPageBreak/>
        <w:t xml:space="preserve">Com os cartuchos intactos em questão, foram realizados os testes de eficiência e verificaram os examinadores que os mesmos podiam ser utilizados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EFICIENTES.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Com os cartuchos intactos incriminados em questão, utilizando armamento compatível e disponível nesta Seção à época dos exames, foram realizados testes de eficiência, verificando o examinador que os mesmos não funcionaram devido à deterioração dos componentes internos dos cartuchos (espoleta e pólvora) e, portanto, apresentando-se INEFICIENTES para produção de disparo.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ENCAMINHAMENTO DO MATERIAL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O material examinado foi lacrado no invólucro de segurança nº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n_lacre</w:t>
      </w:r>
      <w:proofErr w:type="spellEnd"/>
      <w:r w:rsidRPr="00DF52EE">
        <w:rPr>
          <w:rFonts w:ascii="Times-Roman" w:eastAsia="Times-Roman" w:hAnsi="Times-Roman" w:cs="Times-Roman"/>
          <w:sz w:val="24"/>
        </w:rPr>
        <w:t>} e enviado para a CUSTÓDIA.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As munições intactas foram consumidas durante os exames e, portanto, não serão mais custodiadas. 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FINAIS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Estes foram os elementos possíveis de serem fornecidos por este exame pericial.</w:t>
      </w:r>
    </w:p>
    <w:p w:rsidR="00665FC5" w:rsidRDefault="00E7218C" w:rsidP="00DA732D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Nada mais havendo a lavrar, encerra-se o presente Laudo Pericial.</w:t>
      </w:r>
    </w:p>
    <w:p w:rsidR="00665FC5" w:rsidRDefault="00E7218C" w:rsidP="0029759C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BIBLIOGRAFIA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BRANDÃO, A.L.G et al. Eficiência em Cartuchos de Fogo Central e Radial, Sem Uso de Arma de Fogo. Revista Criminalística e Medicina Legal. Volume 1, Número 1, pg. 24-29, 2016.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Balística Forense Aplicada. Ministério da Justiça e Segurança Pública - Secretaria de Gestão e Ensino em Segurança Pública (Segen),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Armas de Fogo e Munições. Ministério da Justiça e Segurança Pública - Secretaria de Gestão e Ensino em Segurança Pública (Segen),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CENTER, National Forensic Science Technology. A Simplified Guide To Firearms Examination. Disponível em: https://www.forensicsciencesimplified.org/ . Acesso em 28/02/2024.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lastRenderedPageBreak/>
        <w:t>TOCHETTO, Domingos. Balística Forense. Aspectos Técnicos e Jurídicos. 10. ed. Campinas: Millennium, 2020.</w:t>
      </w:r>
    </w:p>
    <w:p w:rsidR="00665FC5" w:rsidRDefault="00665FC5">
      <w:pPr>
        <w:spacing w:after="0"/>
        <w:jc w:val="both"/>
      </w:pPr>
    </w:p>
    <w:p w:rsidR="00665FC5" w:rsidRDefault="00E7218C">
      <w:pPr>
        <w:spacing w:after="0" w:line="240" w:lineRule="auto"/>
        <w:jc w:val="both"/>
      </w:pPr>
      <w:r>
        <w:rPr>
          <w:rFonts w:ascii="Times-Roman" w:eastAsia="Times-Roman" w:hAnsi="Times-Roman" w:cs="Times-Roman"/>
          <w:sz w:val="24"/>
        </w:rPr>
        <w:t xml:space="preserve"> </w:t>
      </w:r>
    </w:p>
    <w:sectPr w:rsidR="00665FC5" w:rsidSect="00562B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87" w:right="1134" w:bottom="2127" w:left="1701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C3557" w:rsidRDefault="00FC3557" w:rsidP="00A71B6E">
      <w:pPr>
        <w:spacing w:after="0" w:line="240" w:lineRule="auto"/>
      </w:pPr>
      <w:r>
        <w:separator/>
      </w:r>
    </w:p>
  </w:endnote>
  <w:endnote w:type="continuationSeparator" w:id="0">
    <w:p w:rsidR="00FC3557" w:rsidRDefault="00FC3557" w:rsidP="00A71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Pr="00A71B6E" w:rsidRDefault="00A71B6E" w:rsidP="008475B5">
    <w:pPr>
      <w:pStyle w:val="Rodap"/>
      <w:tabs>
        <w:tab w:val="clear" w:pos="4252"/>
        <w:tab w:val="clear" w:pos="8504"/>
      </w:tabs>
      <w:jc w:val="right"/>
      <w:textAlignment w:val="bottom"/>
    </w:pPr>
    <w:r>
      <w:t xml:space="preserve">Laudo Pericial - </w:t>
    </w:r>
    <w:sdt>
      <w:sdtPr>
        <w:id w:val="1819605426"/>
        <w:docPartObj>
          <w:docPartGallery w:val="Page Numbers (Bottom of Page)"/>
          <w:docPartUnique/>
        </w:docPartObj>
      </w:sdtPr>
      <w:sdtEndPr/>
      <w:sdtContent>
        <w:sdt>
          <w:sdtPr>
            <w:id w:val="-2074422782"/>
            <w:docPartObj>
              <w:docPartGallery w:val="Page Numbers (Top of Page)"/>
              <w:docPartUnique/>
            </w:docPartObj>
          </w:sdtPr>
          <w:sdtEndPr/>
          <w:sdtContent>
            <w:r w:rsidRPr="00A71B6E">
              <w:t xml:space="preserve">Página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PAGE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CD1695">
              <w:rPr>
                <w:bCs/>
                <w:noProof/>
              </w:rPr>
              <w:t>4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  <w:r w:rsidRPr="00A71B6E">
              <w:t xml:space="preserve"> de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NUMPAGES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CD1695">
              <w:rPr>
                <w:bCs/>
                <w:noProof/>
              </w:rPr>
              <w:t>4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</w:sdtContent>
        </w:sdt>
      </w:sdtContent>
    </w:sdt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  <w:t xml:space="preserve">       </w:t>
    </w:r>
    <w:r w:rsidR="008475B5">
      <w:rPr>
        <w:noProof/>
        <w:lang w:eastAsia="pt-BR"/>
      </w:rPr>
      <w:t xml:space="preserve"> </w:t>
    </w:r>
    <w:r>
      <w:rPr>
        <w:noProof/>
        <w:lang w:eastAsia="pt-BR"/>
      </w:rPr>
      <w:drawing>
        <wp:inline distT="0" distB="0" distL="0" distR="0">
          <wp:extent cx="1409700" cy="787400"/>
          <wp:effectExtent l="0" t="0" r="0" b="0"/>
          <wp:docPr id="3" name="Drawing 2" descr="barr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barra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9700" cy="787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C3557" w:rsidRDefault="00FC3557" w:rsidP="00A71B6E">
      <w:pPr>
        <w:spacing w:after="0" w:line="240" w:lineRule="auto"/>
      </w:pPr>
      <w:r>
        <w:separator/>
      </w:r>
    </w:p>
  </w:footnote>
  <w:footnote w:type="continuationSeparator" w:id="0">
    <w:p w:rsidR="00FC3557" w:rsidRDefault="00FC3557" w:rsidP="00A71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FC3557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10" o:spid="_x0000_s2050" type="#_x0000_t75" style="position:absolute;margin-left:0;margin-top:0;width:424.9pt;height:329.15pt;z-index:-251657216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AF2D45">
    <w:pPr>
      <w:pStyle w:val="Cabealho"/>
      <w:spacing w:after="360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>
          <wp:simplePos x="1084521" y="180753"/>
          <wp:positionH relativeFrom="margin">
            <wp:align>center</wp:align>
          </wp:positionH>
          <wp:positionV relativeFrom="margin">
            <wp:align>center</wp:align>
          </wp:positionV>
          <wp:extent cx="5517222" cy="4274049"/>
          <wp:effectExtent l="0" t="0" r="7620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marca_dagu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17222" cy="42740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FFFFFF"/>
        <w:sz w:val="20"/>
      </w:rPr>
      <w:t>15287!2026-487-002977-024-018997793-83!</w:t>
    </w:r>
    <w:r>
      <w:rPr>
        <w:noProof/>
        <w:color w:val="FFFFFF"/>
        <w:sz w:val="20"/>
        <w:lang w:eastAsia="pt-BR"/>
      </w:rPr>
      <w:drawing>
        <wp:inline distT="0" distB="0" distL="0" distR="0">
          <wp:extent cx="5715000" cy="685800"/>
          <wp:effectExtent l="0" t="0" r="0" b="0"/>
          <wp:docPr id="2" name="Drawing 0" descr="cabecalho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cabecalho.JPG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715000" cy="685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FC3557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09" o:spid="_x0000_s2049" type="#_x0000_t75" style="position:absolute;margin-left:0;margin-top:0;width:424.9pt;height:329.15pt;z-index:-251658240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B6E"/>
    <w:rsid w:val="000954D4"/>
    <w:rsid w:val="000A4510"/>
    <w:rsid w:val="000B3852"/>
    <w:rsid w:val="001004ED"/>
    <w:rsid w:val="001118DA"/>
    <w:rsid w:val="001171B7"/>
    <w:rsid w:val="001B6991"/>
    <w:rsid w:val="001D4A74"/>
    <w:rsid w:val="0023244C"/>
    <w:rsid w:val="00280113"/>
    <w:rsid w:val="0029759C"/>
    <w:rsid w:val="002C5F54"/>
    <w:rsid w:val="00342328"/>
    <w:rsid w:val="00363D22"/>
    <w:rsid w:val="003A606C"/>
    <w:rsid w:val="003B469F"/>
    <w:rsid w:val="004643AD"/>
    <w:rsid w:val="004E0E24"/>
    <w:rsid w:val="00562B7C"/>
    <w:rsid w:val="0056364A"/>
    <w:rsid w:val="00602B46"/>
    <w:rsid w:val="00621238"/>
    <w:rsid w:val="00665FC5"/>
    <w:rsid w:val="006A10BB"/>
    <w:rsid w:val="007168D7"/>
    <w:rsid w:val="00725F57"/>
    <w:rsid w:val="0073386D"/>
    <w:rsid w:val="007752DC"/>
    <w:rsid w:val="007E05BF"/>
    <w:rsid w:val="008475B5"/>
    <w:rsid w:val="00853CDF"/>
    <w:rsid w:val="00861B5E"/>
    <w:rsid w:val="00881395"/>
    <w:rsid w:val="008E518C"/>
    <w:rsid w:val="00920F9E"/>
    <w:rsid w:val="00963B21"/>
    <w:rsid w:val="009B4C2A"/>
    <w:rsid w:val="009E11F8"/>
    <w:rsid w:val="00A37FA1"/>
    <w:rsid w:val="00A71B6E"/>
    <w:rsid w:val="00AC0189"/>
    <w:rsid w:val="00AF2D45"/>
    <w:rsid w:val="00B5742F"/>
    <w:rsid w:val="00BE0FC1"/>
    <w:rsid w:val="00C548B4"/>
    <w:rsid w:val="00C65755"/>
    <w:rsid w:val="00C91A3E"/>
    <w:rsid w:val="00CD1695"/>
    <w:rsid w:val="00D31BA7"/>
    <w:rsid w:val="00DA732D"/>
    <w:rsid w:val="00DF52EE"/>
    <w:rsid w:val="00E24D8B"/>
    <w:rsid w:val="00E607AF"/>
    <w:rsid w:val="00E7218C"/>
    <w:rsid w:val="00EA591D"/>
    <w:rsid w:val="00F321B1"/>
    <w:rsid w:val="00FC25BE"/>
    <w:rsid w:val="00FC3557"/>
    <w:rsid w:val="00FD6DDF"/>
    <w:rsid w:val="00FF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5:chartTrackingRefBased/>
  <w15:docId w15:val="{F04FCF3D-F797-45D2-B4FA-14BD88D9D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71B6E"/>
  </w:style>
  <w:style w:type="paragraph" w:styleId="Rodap">
    <w:name w:val="footer"/>
    <w:basedOn w:val="Normal"/>
    <w:link w:val="Rodap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71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962</Words>
  <Characters>5197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Laudo</vt:lpstr>
    </vt:vector>
  </TitlesOfParts>
  <Company>Microsoft</Company>
  <LinksUpToDate>false</LinksUpToDate>
  <CharactersWithSpaces>6147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Laudo</dc:title>
  <dc:creator>PCnet</dc:creator>
  <cp:lastModifiedBy>RYZEN 7</cp:lastModifiedBy>
  <cp:revision>15</cp:revision>
  <dcterms:created xsi:type="dcterms:W3CDTF">2026-07-25T19:19:00Z</dcterms:created>
  <dcterms:modified xsi:type="dcterms:W3CDTF">2026-07-27T16:10:00Z</dcterms:modified>
</cp:coreProperties>
</file>