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0"/>
        <w:jc w:val="center"/>
        <w:rPr>
          <w:b/>
          <w:bCs/>
        </w:rPr>
      </w:pPr>
      <w:r>
        <w:rPr>
          <w:b/>
          <w:bCs/>
        </w:rPr>
        <w:t>Definição de Pronto (DoD)</w:t>
      </w:r>
    </w:p>
    <w:p>
      <w:pPr>
        <w:pStyle w:val="BodyText"/>
        <w:spacing w:before="0" w:after="0"/>
        <w:jc w:val="center"/>
        <w:rPr>
          <w:b/>
          <w:bCs/>
        </w:rPr>
      </w:pPr>
      <w:r>
        <w:rPr/>
      </w:r>
    </w:p>
    <w:p>
      <w:pPr>
        <w:pStyle w:val="BodyText"/>
        <w:spacing w:before="0" w:after="0"/>
        <w:jc w:val="center"/>
        <w:rPr>
          <w:b/>
          <w:bCs/>
        </w:rPr>
      </w:pPr>
      <w:r>
        <w:rPr>
          <w:b/>
        </w:rPr>
        <w:t>MÓDULO 5 – MIC014 – AULA 08</w:t>
      </w:r>
    </w:p>
    <w:p>
      <w:pPr>
        <w:pStyle w:val="normal1"/>
        <w:spacing w:lineRule="auto" w:line="288" w:before="240" w:after="240"/>
        <w:ind w:firstLine="720" w:left="720"/>
        <w:jc w:val="both"/>
        <w:rPr>
          <w:b/>
        </w:rPr>
      </w:pPr>
      <w:r>
        <w:rPr>
          <w:b/>
        </w:rPr>
        <w:t>Alunos: Wesley Silva Araújo e Lucas Gabriel Rocha Constancio</w:t>
      </w:r>
    </w:p>
    <w:p>
      <w:pPr>
        <w:pStyle w:val="normal1"/>
        <w:spacing w:lineRule="auto" w:line="288" w:before="240" w:after="240"/>
        <w:ind w:hanging="0" w:left="2880"/>
        <w:jc w:val="both"/>
        <w:rPr>
          <w:b/>
        </w:rPr>
      </w:pPr>
      <w:r>
        <w:rPr>
          <w:b/>
        </w:rPr>
        <w:t xml:space="preserve">            </w:t>
      </w:r>
      <w:r>
        <w:rPr>
          <w:b/>
        </w:rPr>
        <w:t>DATA: 21/12/2024</w:t>
      </w:r>
    </w:p>
    <w:p>
      <w:pPr>
        <w:pStyle w:val="BodyText"/>
        <w:spacing w:before="0" w:after="0"/>
        <w:jc w:val="center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0" w:after="0"/>
        <w:jc w:val="both"/>
        <w:rPr/>
      </w:pPr>
      <w:r>
        <w:rPr/>
        <w:t>Esse documento assegura que todos os critérios mínimos de qualidade e funcionalidade foram atendidos antes de uma tarefa ou funcionalidade ser considerada "pronta".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>
          <w:b/>
          <w:bCs/>
        </w:rPr>
        <w:t xml:space="preserve">Objetivo: </w:t>
      </w:r>
      <w:r>
        <w:rPr/>
        <w:t>Estabelecer critérios claros e mensuráveis para que uma tarefa ou funcionalidade seja considerada "pronta" no contexto do projeto de IoT, garantindo qualidade, consistência e conformidade com os requisitos.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center"/>
        <w:rPr>
          <w:b/>
          <w:bCs/>
        </w:rPr>
      </w:pPr>
      <w:r>
        <w:rPr>
          <w:b/>
          <w:bCs/>
        </w:rPr>
        <w:t>Critérios de Pronto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1. Qualidade do Código:</w:t>
      </w:r>
    </w:p>
    <w:p>
      <w:pPr>
        <w:pStyle w:val="BodyText"/>
        <w:numPr>
          <w:ilvl w:val="0"/>
          <w:numId w:val="1"/>
        </w:numPr>
        <w:spacing w:before="0" w:after="0"/>
        <w:jc w:val="both"/>
        <w:rPr/>
      </w:pPr>
      <w:r>
        <w:rPr/>
        <w:t>Conformidade com os padrões de codificação: Todo o código segu</w:t>
      </w:r>
      <w:r>
        <w:rPr>
          <w:lang w:val="pt-BR"/>
        </w:rPr>
        <w:t>e</w:t>
      </w:r>
      <w:r>
        <w:rPr/>
        <w:t xml:space="preserve"> os padrões definidos para o projeto.</w:t>
      </w:r>
    </w:p>
    <w:p>
      <w:pPr>
        <w:pStyle w:val="BodyText"/>
        <w:numPr>
          <w:ilvl w:val="0"/>
          <w:numId w:val="1"/>
        </w:numPr>
        <w:spacing w:before="0" w:after="0"/>
        <w:jc w:val="both"/>
        <w:rPr/>
      </w:pPr>
      <w:r>
        <w:rPr/>
        <w:t>Ausência de erros e warnings: O código está sem erros e warnings após a execução de testes e validações.</w:t>
      </w:r>
    </w:p>
    <w:p>
      <w:pPr>
        <w:pStyle w:val="BodyText"/>
        <w:numPr>
          <w:ilvl w:val="0"/>
          <w:numId w:val="1"/>
        </w:numPr>
        <w:spacing w:before="0" w:after="0"/>
        <w:jc w:val="both"/>
        <w:rPr/>
      </w:pPr>
      <w:r>
        <w:rPr/>
        <w:t>Documentação do código: Código principal e funções importantes est</w:t>
      </w:r>
      <w:r>
        <w:rPr>
          <w:lang w:val="pt-BR"/>
        </w:rPr>
        <w:t>ão</w:t>
      </w:r>
      <w:r>
        <w:rPr/>
        <w:t xml:space="preserve"> documentad</w:t>
      </w:r>
      <w:r>
        <w:rPr>
          <w:lang w:val="pt-BR"/>
        </w:rPr>
        <w:t>as.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2. Funcionalidade:</w:t>
      </w:r>
    </w:p>
    <w:p>
      <w:pPr>
        <w:pStyle w:val="BodyText"/>
        <w:numPr>
          <w:ilvl w:val="0"/>
          <w:numId w:val="2"/>
        </w:numPr>
        <w:spacing w:before="0" w:after="0"/>
        <w:jc w:val="both"/>
        <w:rPr/>
      </w:pPr>
      <w:r>
        <w:rPr/>
        <w:t>Requisitos atendidos: A funcionalidade implementa exatamente os requisitos especificados na tarefa.</w:t>
      </w:r>
    </w:p>
    <w:p>
      <w:pPr>
        <w:pStyle w:val="BodyText"/>
        <w:numPr>
          <w:ilvl w:val="0"/>
          <w:numId w:val="2"/>
        </w:numPr>
        <w:spacing w:before="0" w:after="0"/>
        <w:jc w:val="both"/>
        <w:rPr/>
      </w:pPr>
      <w:r>
        <w:rPr/>
        <w:t xml:space="preserve">Integração com dispositivos IoT: O código é testado e funciona conforme esperado nos dispositivos IoT do projeto </w:t>
      </w:r>
      <w:r>
        <w:rPr>
          <w:lang w:val="pt-BR"/>
        </w:rPr>
        <w:t>(Arduino)</w:t>
      </w:r>
    </w:p>
    <w:p>
      <w:pPr>
        <w:pStyle w:val="BodyText"/>
        <w:numPr>
          <w:ilvl w:val="0"/>
          <w:numId w:val="2"/>
        </w:numPr>
        <w:spacing w:before="0" w:after="0"/>
        <w:jc w:val="both"/>
        <w:rPr/>
      </w:pPr>
      <w:r>
        <w:rPr/>
        <w:t>Integração com sensores e atuadores: Todos os sensores e atuadores necessários funcionam corretamente e respondem conforme esperado.</w:t>
      </w:r>
    </w:p>
    <w:p>
      <w:pPr>
        <w:pStyle w:val="BodyText"/>
        <w:numPr>
          <w:ilvl w:val="0"/>
          <w:numId w:val="2"/>
        </w:numPr>
        <w:spacing w:before="0" w:after="0"/>
        <w:jc w:val="both"/>
        <w:rPr/>
      </w:pPr>
      <w:r>
        <w:rPr/>
        <w:t>Execução de testes automatizados: Testes unitários e de integração foram escritos e executados para a funcionalidade, com uma cobertura mínima de 80%.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3. Testes:</w:t>
      </w:r>
    </w:p>
    <w:p>
      <w:pPr>
        <w:pStyle w:val="BodyText"/>
        <w:numPr>
          <w:ilvl w:val="0"/>
          <w:numId w:val="3"/>
        </w:numPr>
        <w:spacing w:before="0" w:after="0"/>
        <w:jc w:val="both"/>
        <w:rPr/>
      </w:pPr>
      <w:r>
        <w:rPr/>
        <w:t>Testes unitários: Todos os componentes da funcionalidade foram testados individualmente.</w:t>
      </w:r>
    </w:p>
    <w:p>
      <w:pPr>
        <w:pStyle w:val="BodyText"/>
        <w:numPr>
          <w:ilvl w:val="0"/>
          <w:numId w:val="3"/>
        </w:numPr>
        <w:spacing w:before="0" w:after="0"/>
        <w:jc w:val="both"/>
        <w:rPr/>
      </w:pPr>
      <w:r>
        <w:rPr/>
        <w:t>Testes de integração: A funcionalidade foi testada em conjunto com outros componentes do sistema.</w:t>
      </w:r>
    </w:p>
    <w:p>
      <w:pPr>
        <w:pStyle w:val="BodyText"/>
        <w:numPr>
          <w:ilvl w:val="0"/>
          <w:numId w:val="3"/>
        </w:numPr>
        <w:spacing w:before="0" w:after="0"/>
        <w:jc w:val="both"/>
        <w:rPr/>
      </w:pPr>
      <w:r>
        <w:rPr/>
        <w:t>Testes de hardware: Os componentes de hardware foram testados, garantindo compatibilidade com os softwares de controle.</w:t>
      </w:r>
    </w:p>
    <w:p>
      <w:pPr>
        <w:pStyle w:val="BodyText"/>
        <w:numPr>
          <w:ilvl w:val="0"/>
          <w:numId w:val="3"/>
        </w:numPr>
        <w:spacing w:before="0" w:after="0"/>
        <w:jc w:val="both"/>
        <w:rPr/>
      </w:pPr>
      <w:r>
        <w:rPr/>
        <w:t>Revisão de QA (Qualidade): A funcionalidade passou por uma revisão de QA, verificando-se a aderência aos critérios de qualidade.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4. Documentação:</w:t>
      </w:r>
    </w:p>
    <w:p>
      <w:pPr>
        <w:pStyle w:val="BodyText"/>
        <w:numPr>
          <w:ilvl w:val="0"/>
          <w:numId w:val="4"/>
        </w:numPr>
        <w:spacing w:before="0" w:after="0"/>
        <w:jc w:val="both"/>
        <w:rPr/>
      </w:pPr>
      <w:r>
        <w:rPr/>
        <w:t>Documentação técnica: Documentação atualizada no repositório, incluindo arquitetura, fluxos de dados e configurações dos dispositivos IoT.</w:t>
      </w:r>
    </w:p>
    <w:p>
      <w:pPr>
        <w:pStyle w:val="BodyText"/>
        <w:numPr>
          <w:ilvl w:val="0"/>
          <w:numId w:val="4"/>
        </w:numPr>
        <w:spacing w:before="0" w:after="0"/>
        <w:jc w:val="both"/>
        <w:rPr/>
      </w:pPr>
      <w:r>
        <w:rPr/>
        <w:t>Atualização de logs: Logs ou históricos de alterações foram atualizados, documentando o que foi modificado e por qual razão.</w:t>
      </w:r>
    </w:p>
    <w:p>
      <w:pPr>
        <w:pStyle w:val="BodyText"/>
        <w:spacing w:before="0" w:after="0"/>
        <w:jc w:val="both"/>
        <w:rPr/>
      </w:pPr>
      <w:r>
        <w:rPr/>
        <w:t xml:space="preserve">   </w:t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5. Segurança e Privacidade:</w:t>
      </w:r>
    </w:p>
    <w:p>
      <w:pPr>
        <w:pStyle w:val="BodyText"/>
        <w:numPr>
          <w:ilvl w:val="0"/>
          <w:numId w:val="5"/>
        </w:numPr>
        <w:spacing w:before="0" w:after="0"/>
        <w:jc w:val="both"/>
        <w:rPr/>
      </w:pPr>
      <w:r>
        <w:rPr/>
        <w:t>Verificação de segurança: A funcionalidade passou por verificações de segurança, incluindo análise de vulnerabilidades de dados e autenticação.</w:t>
      </w:r>
    </w:p>
    <w:p>
      <w:pPr>
        <w:pStyle w:val="BodyText"/>
        <w:numPr>
          <w:ilvl w:val="0"/>
          <w:numId w:val="5"/>
        </w:numPr>
        <w:spacing w:before="0" w:after="0"/>
        <w:jc w:val="both"/>
        <w:rPr/>
      </w:pPr>
      <w:r>
        <w:rPr/>
        <w:t>Proteção de dados: Dados sensíveis são armazenados e transmitidos de forma segura, respeitando as diretrizes de privacidade e segurança.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</w:rPr>
      </w:pPr>
      <w:r>
        <w:rPr>
          <w:b/>
          <w:bCs/>
        </w:rPr>
        <w:t>6. Aprovação:</w:t>
      </w:r>
    </w:p>
    <w:p>
      <w:pPr>
        <w:pStyle w:val="BodyText"/>
        <w:numPr>
          <w:ilvl w:val="0"/>
          <w:numId w:val="6"/>
        </w:numPr>
        <w:spacing w:before="0" w:after="0"/>
        <w:jc w:val="both"/>
        <w:rPr/>
      </w:pPr>
      <w:r>
        <w:rPr/>
        <w:t>Revisão por pares: O código foi revisado e aprovado por</w:t>
      </w:r>
      <w:r>
        <w:rPr>
          <w:lang w:val="pt-BR"/>
        </w:rPr>
        <w:t xml:space="preserve"> </w:t>
      </w:r>
      <w:r>
        <w:rPr>
          <w:lang w:val="pt-BR"/>
        </w:rPr>
        <w:t>dois</w:t>
      </w:r>
      <w:r>
        <w:rPr>
          <w:lang w:val="pt-BR"/>
        </w:rPr>
        <w:t xml:space="preserve"> </w:t>
      </w:r>
      <w:r>
        <w:rPr/>
        <w:t>membro</w:t>
      </w:r>
      <w:r>
        <w:rPr>
          <w:lang w:val="pt-BR"/>
        </w:rPr>
        <w:t>s</w:t>
      </w:r>
      <w:r>
        <w:rPr/>
        <w:t xml:space="preserve"> da equipe.</w:t>
      </w:r>
    </w:p>
    <w:p>
      <w:pPr>
        <w:pStyle w:val="BodyText"/>
        <w:numPr>
          <w:ilvl w:val="0"/>
          <w:numId w:val="6"/>
        </w:numPr>
        <w:spacing w:before="0" w:after="0"/>
        <w:jc w:val="both"/>
        <w:rPr/>
      </w:pPr>
      <w:r>
        <w:rPr/>
        <w:t>Feedback incorporado: Todo o feedback relevante da equipe e stakeholders foi considerado e incorporado.</w:t>
      </w:r>
    </w:p>
    <w:p>
      <w:pPr>
        <w:pStyle w:val="BodyText"/>
        <w:numPr>
          <w:ilvl w:val="0"/>
          <w:numId w:val="6"/>
        </w:numPr>
        <w:spacing w:before="0" w:after="0"/>
        <w:jc w:val="both"/>
        <w:rPr/>
      </w:pPr>
      <w:r>
        <w:rPr/>
        <w:t>Pull Request/Commit: A funcionalidade está pronta para ser submetida em um pull request/commit, com todas as informações preenchidas.</w:t>
      </w:r>
    </w:p>
    <w:p>
      <w:pPr>
        <w:pStyle w:val="BodyText"/>
        <w:spacing w:before="0" w:after="0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739" w:top="2378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77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7"/>
      <w:gridCol w:w="6516"/>
      <w:gridCol w:w="1895"/>
    </w:tblGrid>
    <w:tr>
      <w:trPr/>
      <w:tc>
        <w:tcPr>
          <w:tcW w:w="1367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/>
            <w:drawing>
              <wp:inline distT="0" distB="0" distL="0" distR="0">
                <wp:extent cx="596265" cy="6515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6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UNIVERSIDADE FEDERAL DE RORAIMA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CENTRO DE CIÊNCIA E TECNOLOGIA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DEPARTAMENTO DE CIÊNCIA DA COMPUTAÇÃO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PROJETO MALOCA DAS ICOISAS</w:t>
          </w:r>
        </w:p>
      </w:tc>
      <w:tc>
        <w:tcPr>
          <w:tcW w:w="189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>
              <w:rFonts w:eastAsia="Noto Sans CJK SC Regular" w:cs="FreeSans"/>
              <w:kern w:val="0"/>
              <w:sz w:val="24"/>
              <w:szCs w:val="24"/>
              <w:lang w:eastAsia="zh-CN" w:bidi="hi-IN"/>
            </w:rPr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2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77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7"/>
      <w:gridCol w:w="6516"/>
      <w:gridCol w:w="1895"/>
    </w:tblGrid>
    <w:tr>
      <w:trPr/>
      <w:tc>
        <w:tcPr>
          <w:tcW w:w="1367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/>
            <w:drawing>
              <wp:inline distT="0" distB="0" distL="0" distR="0">
                <wp:extent cx="596265" cy="651510"/>
                <wp:effectExtent l="0" t="0" r="0" b="0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6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UNIVERSIDADE FEDERAL DE RORAIMA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CENTRO DE CIÊNCIA E TECNOLOGIA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DEPARTAMENTO DE CIÊNCIA DA COMPUTAÇÃO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PROJETO MALOCA DAS ICOISAS</w:t>
          </w:r>
        </w:p>
      </w:tc>
      <w:tc>
        <w:tcPr>
          <w:tcW w:w="189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>
              <w:rFonts w:eastAsia="Noto Sans CJK SC Regular" w:cs="FreeSans"/>
              <w:kern w:val="0"/>
              <w:sz w:val="24"/>
              <w:szCs w:val="24"/>
              <w:lang w:eastAsia="zh-CN" w:bidi="hi-IN"/>
            </w:rPr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4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189"/>
        </w:tabs>
        <w:ind w:left="11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49"/>
        </w:tabs>
        <w:ind w:left="15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09"/>
        </w:tabs>
        <w:ind w:left="19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69"/>
        </w:tabs>
        <w:ind w:left="22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29"/>
        </w:tabs>
        <w:ind w:left="26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89"/>
        </w:tabs>
        <w:ind w:left="29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49"/>
        </w:tabs>
        <w:ind w:left="33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09"/>
        </w:tabs>
        <w:ind w:left="37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69"/>
        </w:tabs>
        <w:ind w:left="406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12"/>
        </w:tabs>
        <w:ind w:left="91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2"/>
        </w:tabs>
        <w:ind w:left="12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2"/>
        </w:tabs>
        <w:ind w:left="163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2"/>
        </w:tabs>
        <w:ind w:left="199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2"/>
        </w:tabs>
        <w:ind w:left="235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2"/>
        </w:tabs>
        <w:ind w:left="271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2"/>
        </w:tabs>
        <w:ind w:left="307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2"/>
        </w:tabs>
        <w:ind w:left="343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2"/>
        </w:tabs>
        <w:ind w:left="3792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09"/>
        </w:tabs>
        <w:ind w:left="13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69"/>
        </w:tabs>
        <w:ind w:left="16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89"/>
        </w:tabs>
        <w:ind w:left="23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49"/>
        </w:tabs>
        <w:ind w:left="27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09"/>
        </w:tabs>
        <w:ind w:left="310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69"/>
        </w:tabs>
        <w:ind w:left="34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29"/>
        </w:tabs>
        <w:ind w:left="382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46"/>
        </w:tabs>
        <w:ind w:left="10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06"/>
        </w:tabs>
        <w:ind w:left="14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66"/>
        </w:tabs>
        <w:ind w:left="17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26"/>
        </w:tabs>
        <w:ind w:left="21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86"/>
        </w:tabs>
        <w:ind w:left="24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46"/>
        </w:tabs>
        <w:ind w:left="28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06"/>
        </w:tabs>
        <w:ind w:left="32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66"/>
        </w:tabs>
        <w:ind w:left="35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26"/>
        </w:tabs>
        <w:ind w:left="3926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973"/>
        </w:tabs>
        <w:ind w:left="9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33"/>
        </w:tabs>
        <w:ind w:left="13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93"/>
        </w:tabs>
        <w:ind w:left="16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53"/>
        </w:tabs>
        <w:ind w:left="20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13"/>
        </w:tabs>
        <w:ind w:left="24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73"/>
        </w:tabs>
        <w:ind w:left="27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33"/>
        </w:tabs>
        <w:ind w:left="31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93"/>
        </w:tabs>
        <w:ind w:left="34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53"/>
        </w:tabs>
        <w:ind w:left="3853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EndnoteCharacters">
    <w:name w:val="Endnote Characters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alhoeRodap"/>
    <w:pPr>
      <w:suppressLineNumbers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LibreOffice/24.2.4.2$Windows_X86_64 LibreOffice_project/51a6219feb6075d9a4c46691dcfe0cd9c4fff3c2</Application>
  <AppVersion>15.0000</AppVersion>
  <Pages>2</Pages>
  <Words>417</Words>
  <Characters>2487</Characters>
  <CharactersWithSpaces>2868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2024-12-21T12:01:22Z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