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81B2" w14:textId="437F3A2B" w:rsidR="002D59F0" w:rsidRDefault="00742326" w:rsidP="00742326">
      <w:pPr>
        <w:spacing w:line="240" w:lineRule="auto"/>
        <w:rPr>
          <w:rFonts w:ascii="Cambria" w:hAnsi="Cambria"/>
          <w:sz w:val="24"/>
          <w:szCs w:val="24"/>
        </w:rPr>
      </w:pPr>
      <w:r>
        <w:rPr>
          <w:rFonts w:ascii="Cambria" w:hAnsi="Cambria"/>
          <w:sz w:val="24"/>
          <w:szCs w:val="24"/>
        </w:rPr>
        <w:t>Programming and Data Science for Biology</w:t>
      </w:r>
    </w:p>
    <w:p w14:paraId="02E75645" w14:textId="7E95A849" w:rsidR="00742326" w:rsidRDefault="00742326" w:rsidP="00742326">
      <w:pPr>
        <w:spacing w:line="240" w:lineRule="auto"/>
        <w:rPr>
          <w:rFonts w:ascii="Cambria" w:hAnsi="Cambria"/>
          <w:sz w:val="24"/>
          <w:szCs w:val="24"/>
        </w:rPr>
      </w:pPr>
      <w:r>
        <w:rPr>
          <w:rFonts w:ascii="Cambria" w:hAnsi="Cambria"/>
          <w:sz w:val="24"/>
          <w:szCs w:val="24"/>
        </w:rPr>
        <w:t>March 2018</w:t>
      </w:r>
    </w:p>
    <w:p w14:paraId="4C7C0AF9" w14:textId="21CD15BC" w:rsidR="00742326" w:rsidRDefault="00742326" w:rsidP="00742326">
      <w:pPr>
        <w:spacing w:line="240" w:lineRule="auto"/>
        <w:rPr>
          <w:rFonts w:ascii="Cambria" w:hAnsi="Cambria"/>
          <w:sz w:val="24"/>
          <w:szCs w:val="24"/>
        </w:rPr>
      </w:pPr>
      <w:r>
        <w:rPr>
          <w:rFonts w:ascii="Cambria" w:hAnsi="Cambria"/>
          <w:sz w:val="24"/>
          <w:szCs w:val="24"/>
        </w:rPr>
        <w:t>Lucas Rocha Moreira</w:t>
      </w:r>
    </w:p>
    <w:p w14:paraId="78A6E38F" w14:textId="62779CF4" w:rsidR="00742326" w:rsidRPr="001D36FC" w:rsidRDefault="00742326" w:rsidP="001D36FC">
      <w:pPr>
        <w:spacing w:before="240" w:line="240" w:lineRule="auto"/>
        <w:jc w:val="center"/>
        <w:rPr>
          <w:rFonts w:ascii="Cambria" w:hAnsi="Cambria"/>
          <w:b/>
          <w:sz w:val="24"/>
          <w:szCs w:val="24"/>
        </w:rPr>
      </w:pPr>
      <w:r w:rsidRPr="001D36FC">
        <w:rPr>
          <w:rFonts w:ascii="Cambria" w:hAnsi="Cambria"/>
          <w:b/>
          <w:sz w:val="24"/>
          <w:szCs w:val="24"/>
        </w:rPr>
        <w:t>Project Proposal</w:t>
      </w:r>
    </w:p>
    <w:p w14:paraId="612033FC" w14:textId="0EB4282D" w:rsidR="00742326" w:rsidRDefault="00742326" w:rsidP="001D36FC">
      <w:pPr>
        <w:spacing w:before="240" w:line="240" w:lineRule="auto"/>
        <w:jc w:val="both"/>
        <w:rPr>
          <w:rFonts w:ascii="Cambria" w:hAnsi="Cambria"/>
          <w:sz w:val="24"/>
          <w:szCs w:val="24"/>
        </w:rPr>
      </w:pPr>
      <w:r>
        <w:rPr>
          <w:rFonts w:ascii="Cambria" w:hAnsi="Cambria"/>
          <w:sz w:val="24"/>
          <w:szCs w:val="24"/>
        </w:rPr>
        <w:tab/>
        <w:t xml:space="preserve">Low-coverage whole genome sequences have become a new trend in population genetics and phylogenetics due to the rise of new sequencing platforms that yield massive amounts of genetic data </w:t>
      </w:r>
      <w:r w:rsidR="00D1418E">
        <w:rPr>
          <w:rFonts w:ascii="Cambria" w:hAnsi="Cambria"/>
          <w:sz w:val="24"/>
          <w:szCs w:val="24"/>
        </w:rPr>
        <w:t>for</w:t>
      </w:r>
      <w:r>
        <w:rPr>
          <w:rFonts w:ascii="Cambria" w:hAnsi="Cambria"/>
          <w:sz w:val="24"/>
          <w:szCs w:val="24"/>
        </w:rPr>
        <w:t xml:space="preserve"> reasonably low prices</w:t>
      </w:r>
      <w:r w:rsidR="00FE7828">
        <w:rPr>
          <w:rFonts w:ascii="Cambria" w:hAnsi="Cambria"/>
          <w:sz w:val="24"/>
          <w:szCs w:val="24"/>
        </w:rPr>
        <w:fldChar w:fldCharType="begin" w:fldLock="1"/>
      </w:r>
      <w:r w:rsidR="00FE7828">
        <w:rPr>
          <w:rFonts w:ascii="Cambria" w:hAnsi="Cambria"/>
          <w:sz w:val="24"/>
          <w:szCs w:val="24"/>
        </w:rPr>
        <w:instrText>ADDIN CSL_CITATION { "citationItems" : [ { "id" : "ITEM-1", "itemData" : { "DOI" : "10.1642/AUK-16-49.1", "ISSN" : "0004-8038", "abstract" : "ABSTRACT Vast improvements in sequencing technology have made it practical to simultaneously sequence millions of nucleotides distributed across the genome, opening the door for genomic studies in virtually any species. Ornithological research stands to benefit in three substantial ways. First, genomic methods enhance our ability to parse and simultaneously analyze both neutral and non-neutral genomic regions, thus providing insight into adaptive evolution and divergence. Second, the sheer quantity of sequence data generated by current sequencing platforms allows increased precision and resolution in analyses. Third, high-throughput sequencing can benefit applications that focus on a small number of loci that are otherwise prohibitively expensive, time-consuming, and technically difficult using traditional sequencing methods. These advances have improved our ability to understand evolutionary processes like speciation and local adaptation, but they also offer many practical applications in the fields of p...", "author" : [ { "dropping-particle" : "", "family" : "Oyler-McCance", "given" : "Sara J.", "non-dropping-particle" : "", "parse-names" : false, "suffix" : "" }, { "dropping-particle" : "", "family" : "Oh", "given" : "Kevin P.", "non-dropping-particle" : "", "parse-names" : false, "suffix" : "" }, { "dropping-particle" : "", "family" : "Langin", "given" : "Kathryn M.", "non-dropping-particle" : "", "parse-names" : false, "suffix" : "" }, { "dropping-particle" : "", "family" : "Aldridge", "given" : "Cameron L.", "non-dropping-particle" : "", "parse-names" : false, "suffix" : "" } ], "container-title" : "The Auk", "id" : "ITEM-1", "issue" : "4", "issued" : { "date-parts" : [ [ "2016", "10", "27" ] ] }, "page" : "626-648", "title" : "A field ornithologist's guide to genomics: practical considerations for ecology and conservation", "type" : "article-journal", "volume" : "133" }, "uris" : [ "http://www.mendeley.com/documents/?uuid=f44c23ef-8ce3-4f02-8176-de5a7ce0e0f7" ] }, { "id" : "ITEM-2", "itemData" : { "DOI" : "10.1146/annurev-ecolsys-110512-135822", "ISSN" : "1543-592X", "author" : [ { "dropping-particle" : "", "family" : "Lemmon", "given" : "Emily Moriarty", "non-dropping-particle" : "", "parse-names" : false, "suffix" : "" }, { "dropping-particle" : "", "family" : "Lemmon", "given" : "Alan R.", "non-dropping-particle" : "", "parse-names" : false, "suffix" : "" } ], "container-title" : "Annual Review of Ecology, Evolution, and Systematics", "id" : "ITEM-2", "issue" : "1", "issued" : { "date-parts" : [ [ "2013", "11", "23" ] ] }, "page" : "99-121", "title" : "High-throughput genomic data in systematics and phylogenetics", "type" : "article-journal", "volume" : "44" }, "uris" : [ "http://www.mendeley.com/documents/?uuid=519e02af-ca8f-4e0b-9d33-9c216e9ef533" ] } ], "mendeley" : { "formattedCitation" : "&lt;sup&gt;1,2&lt;/sup&gt;", "plainTextFormattedCitation" : "1,2", "previouslyFormattedCitation" : "&lt;sup&gt;1,2&lt;/sup&gt;" }, "properties" : {  }, "schema" : "https://github.com/citation-style-language/schema/raw/master/csl-citation.json" }</w:instrText>
      </w:r>
      <w:r w:rsidR="00FE7828">
        <w:rPr>
          <w:rFonts w:ascii="Cambria" w:hAnsi="Cambria"/>
          <w:sz w:val="24"/>
          <w:szCs w:val="24"/>
        </w:rPr>
        <w:fldChar w:fldCharType="separate"/>
      </w:r>
      <w:r w:rsidR="00FE7828" w:rsidRPr="00FE7828">
        <w:rPr>
          <w:rFonts w:ascii="Cambria" w:hAnsi="Cambria"/>
          <w:noProof/>
          <w:sz w:val="24"/>
          <w:szCs w:val="24"/>
          <w:vertAlign w:val="superscript"/>
        </w:rPr>
        <w:t>1,2</w:t>
      </w:r>
      <w:r w:rsidR="00FE7828">
        <w:rPr>
          <w:rFonts w:ascii="Cambria" w:hAnsi="Cambria"/>
          <w:sz w:val="24"/>
          <w:szCs w:val="24"/>
        </w:rPr>
        <w:fldChar w:fldCharType="end"/>
      </w:r>
      <w:r>
        <w:rPr>
          <w:rFonts w:ascii="Cambria" w:hAnsi="Cambria"/>
          <w:sz w:val="24"/>
          <w:szCs w:val="24"/>
        </w:rPr>
        <w:t xml:space="preserve">. The analysis of these data, however, </w:t>
      </w:r>
      <w:r w:rsidR="00D1418E">
        <w:rPr>
          <w:rFonts w:ascii="Cambria" w:hAnsi="Cambria"/>
          <w:sz w:val="24"/>
          <w:szCs w:val="24"/>
        </w:rPr>
        <w:t xml:space="preserve">is very </w:t>
      </w:r>
      <w:r>
        <w:rPr>
          <w:rFonts w:ascii="Cambria" w:hAnsi="Cambria"/>
          <w:sz w:val="24"/>
          <w:szCs w:val="24"/>
        </w:rPr>
        <w:t>computationally demanding and require</w:t>
      </w:r>
      <w:r w:rsidR="00D1418E">
        <w:rPr>
          <w:rFonts w:ascii="Cambria" w:hAnsi="Cambria"/>
          <w:sz w:val="24"/>
          <w:szCs w:val="24"/>
        </w:rPr>
        <w:t>s</w:t>
      </w:r>
      <w:r>
        <w:rPr>
          <w:rFonts w:ascii="Cambria" w:hAnsi="Cambria"/>
          <w:sz w:val="24"/>
          <w:szCs w:val="24"/>
        </w:rPr>
        <w:t xml:space="preserve"> </w:t>
      </w:r>
      <w:r w:rsidR="00D1418E">
        <w:rPr>
          <w:rFonts w:ascii="Cambria" w:hAnsi="Cambria"/>
          <w:sz w:val="24"/>
          <w:szCs w:val="24"/>
        </w:rPr>
        <w:t>several</w:t>
      </w:r>
      <w:r>
        <w:rPr>
          <w:rFonts w:ascii="Cambria" w:hAnsi="Cambria"/>
          <w:sz w:val="24"/>
          <w:szCs w:val="24"/>
        </w:rPr>
        <w:t xml:space="preserve"> </w:t>
      </w:r>
      <w:r w:rsidR="00D1418E">
        <w:rPr>
          <w:rFonts w:ascii="Cambria" w:hAnsi="Cambria"/>
          <w:sz w:val="24"/>
          <w:szCs w:val="24"/>
        </w:rPr>
        <w:t xml:space="preserve">consecutive steps that use different bioinformatic algorithms. </w:t>
      </w:r>
      <w:r>
        <w:rPr>
          <w:rFonts w:ascii="Cambria" w:hAnsi="Cambria"/>
          <w:sz w:val="24"/>
          <w:szCs w:val="24"/>
        </w:rPr>
        <w:t>Despite the recent popularity</w:t>
      </w:r>
      <w:r w:rsidR="00D1418E">
        <w:rPr>
          <w:rFonts w:ascii="Cambria" w:hAnsi="Cambria"/>
          <w:sz w:val="24"/>
          <w:szCs w:val="24"/>
        </w:rPr>
        <w:t xml:space="preserve"> of this approach</w:t>
      </w:r>
      <w:r>
        <w:rPr>
          <w:rFonts w:ascii="Cambria" w:hAnsi="Cambria"/>
          <w:sz w:val="24"/>
          <w:szCs w:val="24"/>
        </w:rPr>
        <w:t xml:space="preserve">, </w:t>
      </w:r>
      <w:r w:rsidR="00D1418E">
        <w:rPr>
          <w:rFonts w:ascii="Cambria" w:hAnsi="Cambria"/>
          <w:sz w:val="24"/>
          <w:szCs w:val="24"/>
        </w:rPr>
        <w:t xml:space="preserve">very few bioinformatic pipelines have been developed to automatize this process and make it more user-friendly. I propose to develop a program, called </w:t>
      </w:r>
      <w:proofErr w:type="spellStart"/>
      <w:r w:rsidR="00D1418E" w:rsidRPr="00D1418E">
        <w:rPr>
          <w:rFonts w:ascii="Cambria" w:hAnsi="Cambria"/>
          <w:i/>
          <w:sz w:val="24"/>
          <w:szCs w:val="24"/>
        </w:rPr>
        <w:t>iGenome</w:t>
      </w:r>
      <w:proofErr w:type="spellEnd"/>
      <w:r w:rsidR="00D1418E">
        <w:rPr>
          <w:rFonts w:ascii="Cambria" w:hAnsi="Cambria"/>
          <w:sz w:val="24"/>
          <w:szCs w:val="24"/>
        </w:rPr>
        <w:t xml:space="preserve">, that takes as input a set of individual </w:t>
      </w:r>
      <w:proofErr w:type="spellStart"/>
      <w:r w:rsidR="00D1418E">
        <w:rPr>
          <w:rFonts w:ascii="Cambria" w:hAnsi="Cambria"/>
          <w:sz w:val="24"/>
          <w:szCs w:val="24"/>
        </w:rPr>
        <w:t>fastq</w:t>
      </w:r>
      <w:proofErr w:type="spellEnd"/>
      <w:r w:rsidR="00D1418E">
        <w:rPr>
          <w:rFonts w:ascii="Cambria" w:hAnsi="Cambria"/>
          <w:sz w:val="24"/>
          <w:szCs w:val="24"/>
        </w:rPr>
        <w:t xml:space="preserve"> files and</w:t>
      </w:r>
      <w:r w:rsidR="00F60C10">
        <w:rPr>
          <w:rFonts w:ascii="Cambria" w:hAnsi="Cambria"/>
          <w:sz w:val="24"/>
          <w:szCs w:val="24"/>
        </w:rPr>
        <w:t xml:space="preserve"> a “parameters” file and</w:t>
      </w:r>
      <w:r w:rsidR="00D1418E">
        <w:rPr>
          <w:rFonts w:ascii="Cambria" w:hAnsi="Cambria"/>
          <w:sz w:val="24"/>
          <w:szCs w:val="24"/>
        </w:rPr>
        <w:t xml:space="preserve"> returns a multi-sample </w:t>
      </w:r>
      <w:proofErr w:type="spellStart"/>
      <w:r w:rsidR="00D1418E">
        <w:rPr>
          <w:rFonts w:ascii="Cambria" w:hAnsi="Cambria"/>
          <w:sz w:val="24"/>
          <w:szCs w:val="24"/>
        </w:rPr>
        <w:t>vcf</w:t>
      </w:r>
      <w:proofErr w:type="spellEnd"/>
      <w:r w:rsidR="00D1418E">
        <w:rPr>
          <w:rFonts w:ascii="Cambria" w:hAnsi="Cambria"/>
          <w:sz w:val="24"/>
          <w:szCs w:val="24"/>
        </w:rPr>
        <w:t xml:space="preserve"> file with nicely filtered and curated SNPs. The program </w:t>
      </w:r>
      <w:r w:rsidR="00F60C10">
        <w:rPr>
          <w:rFonts w:ascii="Cambria" w:hAnsi="Cambria"/>
          <w:sz w:val="24"/>
          <w:szCs w:val="24"/>
        </w:rPr>
        <w:t>is a wrapper inspired by ipyrad</w:t>
      </w:r>
      <w:r w:rsidR="00FE7828">
        <w:rPr>
          <w:rFonts w:ascii="Cambria" w:hAnsi="Cambria"/>
          <w:sz w:val="24"/>
          <w:szCs w:val="24"/>
        </w:rPr>
        <w:fldChar w:fldCharType="begin" w:fldLock="1"/>
      </w:r>
      <w:r w:rsidR="00FE7828">
        <w:rPr>
          <w:rFonts w:ascii="Cambria" w:hAnsi="Cambria"/>
          <w:sz w:val="24"/>
          <w:szCs w:val="24"/>
        </w:rPr>
        <w:instrText>ADDIN CSL_CITATION { "citationItems" : [ { "id" : "ITEM-1", "itemData" : { "DOI" : "10.1093/bioinformatics/btu121", "ISBN" : "10.1101/001081", "ISSN" : "14602059", "PMID" : "24603985", "abstract" : "Motivation: Restriction-site\u2013associated genomic markers are a powerful tool for investigating evolutionary questions at the population level, but are limited in their utility at deeper phylogenetic scales where fewer orthologous loci are typically recovered across disparate taxa. While this limitation stems in part from mutations to restriction recognition sites that disrupt data generation, an additional source of data loss comes from the failure to identify homology during bioinformatic analyses. Clustering methods that allow for lower similarity thresholds and the inclusion of indel variation will perform better at assembling RADseq loci at the phylogenetic scale.\\nResults: PyRAD is a pipeline to assemble de novo RADseq loci with the aim of optimizing coverage across phylogenetic datasets. It uses a wrapper around an alignment-clustering algorithm, which allows for indel variation within and between samples, as well as for incomplete overlap among reads (e.g. paired-end). Here I compare PyRAD with the program Stacks in their performance analyzing a simulated RADseq dataset that includes indel variation. Indels disrupt clustering of homologous loci in Stacks but not in PyRAD, such that the latter recovers more shared loci across disparate taxa. I show through reanalysis of an empirical RADseq dataset that indels are a common feature of such data, even at shallow phylogenetic scales. PyRAD uses parallel processing as well as an optional hierarchical clustering method, which allows it to rapidly assemble phylogenetic datasets with hundreds of sampled individuals.\\nAvailability: Software is written in Python and freely available at http://www.dereneaton.com/software/\\nContact: daeaton.chicago@gmail.com\\nSupplementary Information: Supplementary data are available at Bioinformatics online.", "author" : [ { "dropping-particle" : "", "family" : "Eaton", "given" : "Deren A. R.", "non-dropping-particle" : "", "parse-names" : false, "suffix" : "" } ], "container-title" : "Bioinformatics", "id" : "ITEM-1", "issue" : "13", "issued" : { "date-parts" : [ [ "2014" ] ] }, "page" : "1844-1849", "title" : "PyRAD: Assembly of de novo RADseq loci for phylogenetic analyses", "type" : "article-journal", "volume" : "30" }, "uris" : [ "http://www.mendeley.com/documents/?uuid=f6b13690-d95a-4638-b9d8-4ef28f6ec485" ] } ], "mendeley" : { "formattedCitation" : "&lt;sup&gt;3&lt;/sup&gt;", "plainTextFormattedCitation" : "3", "previouslyFormattedCitation" : "&lt;sup&gt;3&lt;/sup&gt;" }, "properties" : {  }, "schema" : "https://github.com/citation-style-language/schema/raw/master/csl-citation.json" }</w:instrText>
      </w:r>
      <w:r w:rsidR="00FE7828">
        <w:rPr>
          <w:rFonts w:ascii="Cambria" w:hAnsi="Cambria"/>
          <w:sz w:val="24"/>
          <w:szCs w:val="24"/>
        </w:rPr>
        <w:fldChar w:fldCharType="separate"/>
      </w:r>
      <w:r w:rsidR="00FE7828" w:rsidRPr="00FE7828">
        <w:rPr>
          <w:rFonts w:ascii="Cambria" w:hAnsi="Cambria"/>
          <w:noProof/>
          <w:sz w:val="24"/>
          <w:szCs w:val="24"/>
          <w:vertAlign w:val="superscript"/>
        </w:rPr>
        <w:t>3</w:t>
      </w:r>
      <w:r w:rsidR="00FE7828">
        <w:rPr>
          <w:rFonts w:ascii="Cambria" w:hAnsi="Cambria"/>
          <w:sz w:val="24"/>
          <w:szCs w:val="24"/>
        </w:rPr>
        <w:fldChar w:fldCharType="end"/>
      </w:r>
      <w:r w:rsidR="00F60C10">
        <w:rPr>
          <w:rFonts w:ascii="Cambria" w:hAnsi="Cambria"/>
          <w:sz w:val="24"/>
          <w:szCs w:val="24"/>
        </w:rPr>
        <w:t xml:space="preserve"> and </w:t>
      </w:r>
      <w:r w:rsidR="00D1418E">
        <w:rPr>
          <w:rFonts w:ascii="Cambria" w:hAnsi="Cambria"/>
          <w:sz w:val="24"/>
          <w:szCs w:val="24"/>
        </w:rPr>
        <w:t xml:space="preserve">will be written in python with the purpose of being primarily </w:t>
      </w:r>
      <w:r w:rsidR="00F60C10">
        <w:rPr>
          <w:rFonts w:ascii="Cambria" w:hAnsi="Cambria"/>
          <w:sz w:val="24"/>
          <w:szCs w:val="24"/>
        </w:rPr>
        <w:t>accessed through a</w:t>
      </w:r>
      <w:r w:rsidR="00D1418E">
        <w:rPr>
          <w:rFonts w:ascii="Cambria" w:hAnsi="Cambria"/>
          <w:sz w:val="24"/>
          <w:szCs w:val="24"/>
        </w:rPr>
        <w:t xml:space="preserve"> command-line interface (CLI). </w:t>
      </w:r>
      <w:r w:rsidR="00F60C10">
        <w:rPr>
          <w:rFonts w:ascii="Cambria" w:hAnsi="Cambria"/>
          <w:sz w:val="24"/>
          <w:szCs w:val="24"/>
        </w:rPr>
        <w:t xml:space="preserve">The workflow involves </w:t>
      </w:r>
      <w:r w:rsidR="005470AD">
        <w:rPr>
          <w:rFonts w:ascii="Cambria" w:hAnsi="Cambria"/>
          <w:sz w:val="24"/>
          <w:szCs w:val="24"/>
        </w:rPr>
        <w:t>ten</w:t>
      </w:r>
      <w:r w:rsidR="00F60C10">
        <w:rPr>
          <w:rFonts w:ascii="Cambria" w:hAnsi="Cambria"/>
          <w:sz w:val="24"/>
          <w:szCs w:val="24"/>
        </w:rPr>
        <w:t xml:space="preserve"> sequential steps (shown in the diagram below), which call different programs</w:t>
      </w:r>
      <w:r w:rsidR="001D36FC">
        <w:rPr>
          <w:rFonts w:ascii="Cambria" w:hAnsi="Cambria"/>
          <w:sz w:val="24"/>
          <w:szCs w:val="24"/>
        </w:rPr>
        <w:t xml:space="preserve"> and use parallel processing</w:t>
      </w:r>
      <w:r w:rsidR="00F60C10">
        <w:rPr>
          <w:rFonts w:ascii="Cambria" w:hAnsi="Cambria"/>
          <w:sz w:val="24"/>
          <w:szCs w:val="24"/>
        </w:rPr>
        <w:t xml:space="preserve">. Each step will be run separately and can be branched </w:t>
      </w:r>
      <w:r w:rsidR="008B30DF">
        <w:rPr>
          <w:rFonts w:ascii="Cambria" w:hAnsi="Cambria"/>
          <w:sz w:val="24"/>
          <w:szCs w:val="24"/>
        </w:rPr>
        <w:t xml:space="preserve">out </w:t>
      </w:r>
      <w:r w:rsidR="00F60C10">
        <w:rPr>
          <w:rFonts w:ascii="Cambria" w:hAnsi="Cambria"/>
          <w:sz w:val="24"/>
          <w:szCs w:val="24"/>
        </w:rPr>
        <w:t xml:space="preserve">so that different parameters can be tested. The program will be tested with a subset of low-coverage whole genome data from </w:t>
      </w:r>
      <w:proofErr w:type="spellStart"/>
      <w:r w:rsidR="00F60C10" w:rsidRPr="00F60C10">
        <w:rPr>
          <w:rFonts w:ascii="Cambria" w:hAnsi="Cambria"/>
          <w:i/>
          <w:sz w:val="24"/>
          <w:szCs w:val="24"/>
        </w:rPr>
        <w:t>Picoides</w:t>
      </w:r>
      <w:proofErr w:type="spellEnd"/>
      <w:r w:rsidR="00F60C10" w:rsidRPr="00F60C10">
        <w:rPr>
          <w:rFonts w:ascii="Cambria" w:hAnsi="Cambria"/>
          <w:i/>
          <w:sz w:val="24"/>
          <w:szCs w:val="24"/>
        </w:rPr>
        <w:t xml:space="preserve"> </w:t>
      </w:r>
      <w:proofErr w:type="spellStart"/>
      <w:r w:rsidR="00F60C10" w:rsidRPr="00F60C10">
        <w:rPr>
          <w:rFonts w:ascii="Cambria" w:hAnsi="Cambria"/>
          <w:i/>
          <w:sz w:val="24"/>
          <w:szCs w:val="24"/>
        </w:rPr>
        <w:t>villosus</w:t>
      </w:r>
      <w:proofErr w:type="spellEnd"/>
      <w:r w:rsidR="00F60C10">
        <w:rPr>
          <w:rFonts w:ascii="Cambria" w:hAnsi="Cambria"/>
          <w:sz w:val="24"/>
          <w:szCs w:val="24"/>
        </w:rPr>
        <w:t xml:space="preserve">, recently obtained. </w:t>
      </w:r>
      <w:proofErr w:type="spellStart"/>
      <w:r w:rsidR="00F60C10" w:rsidRPr="00ED6BB2">
        <w:rPr>
          <w:rFonts w:ascii="Cambria" w:hAnsi="Cambria"/>
          <w:i/>
          <w:sz w:val="24"/>
          <w:szCs w:val="24"/>
        </w:rPr>
        <w:t>iGenome</w:t>
      </w:r>
      <w:proofErr w:type="spellEnd"/>
      <w:r w:rsidR="00F60C10">
        <w:rPr>
          <w:rFonts w:ascii="Cambria" w:hAnsi="Cambria"/>
          <w:sz w:val="24"/>
          <w:szCs w:val="24"/>
        </w:rPr>
        <w:t xml:space="preserve"> will be </w:t>
      </w:r>
      <w:r w:rsidR="008B30DF">
        <w:rPr>
          <w:rFonts w:ascii="Cambria" w:hAnsi="Cambria"/>
          <w:sz w:val="24"/>
          <w:szCs w:val="24"/>
        </w:rPr>
        <w:t xml:space="preserve">freely </w:t>
      </w:r>
      <w:r w:rsidR="00F60C10">
        <w:rPr>
          <w:rFonts w:ascii="Cambria" w:hAnsi="Cambria"/>
          <w:sz w:val="24"/>
          <w:szCs w:val="24"/>
        </w:rPr>
        <w:t xml:space="preserve">available through GitHub and will hopefully be of use </w:t>
      </w:r>
      <w:r w:rsidR="008B30DF">
        <w:rPr>
          <w:rFonts w:ascii="Cambria" w:hAnsi="Cambria"/>
          <w:sz w:val="24"/>
          <w:szCs w:val="24"/>
        </w:rPr>
        <w:t>to</w:t>
      </w:r>
      <w:r w:rsidR="00F60C10">
        <w:rPr>
          <w:rFonts w:ascii="Cambria" w:hAnsi="Cambria"/>
          <w:sz w:val="24"/>
          <w:szCs w:val="24"/>
        </w:rPr>
        <w:t xml:space="preserve"> other interested users.</w:t>
      </w:r>
    </w:p>
    <w:p w14:paraId="059A4CB8" w14:textId="469EF49D" w:rsidR="001D36FC" w:rsidRDefault="001D36FC" w:rsidP="001D36FC">
      <w:pPr>
        <w:spacing w:line="240" w:lineRule="auto"/>
        <w:ind w:left="-360"/>
        <w:jc w:val="both"/>
        <w:rPr>
          <w:rFonts w:ascii="Cambria" w:hAnsi="Cambria"/>
          <w:sz w:val="24"/>
          <w:szCs w:val="24"/>
        </w:rPr>
      </w:pPr>
      <w:r>
        <w:rPr>
          <w:noProof/>
        </w:rPr>
        <w:drawing>
          <wp:inline distT="0" distB="0" distL="0" distR="0" wp14:anchorId="3ECAAAFB" wp14:editId="1DA5D97F">
            <wp:extent cx="6397625" cy="359866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7219" cy="3615312"/>
                    </a:xfrm>
                    <a:prstGeom prst="rect">
                      <a:avLst/>
                    </a:prstGeom>
                    <a:noFill/>
                    <a:ln>
                      <a:noFill/>
                    </a:ln>
                  </pic:spPr>
                </pic:pic>
              </a:graphicData>
            </a:graphic>
          </wp:inline>
        </w:drawing>
      </w:r>
      <w:bookmarkStart w:id="0" w:name="_GoBack"/>
      <w:bookmarkEnd w:id="0"/>
    </w:p>
    <w:p w14:paraId="1C56CF58" w14:textId="2DF7DC33" w:rsidR="001D36FC" w:rsidRPr="001D36FC" w:rsidRDefault="001D36FC" w:rsidP="00742326">
      <w:pPr>
        <w:spacing w:line="240" w:lineRule="auto"/>
        <w:jc w:val="both"/>
        <w:rPr>
          <w:rFonts w:ascii="Cambria" w:hAnsi="Cambria"/>
          <w:szCs w:val="24"/>
        </w:rPr>
      </w:pPr>
      <w:r w:rsidRPr="001D36FC">
        <w:rPr>
          <w:rFonts w:ascii="Cambria" w:hAnsi="Cambria"/>
          <w:szCs w:val="24"/>
        </w:rPr>
        <w:t>References</w:t>
      </w:r>
    </w:p>
    <w:p w14:paraId="6874DD4E" w14:textId="599A6592" w:rsidR="001D36FC" w:rsidRPr="001D36FC" w:rsidRDefault="001D36FC" w:rsidP="001D36FC">
      <w:pPr>
        <w:widowControl w:val="0"/>
        <w:autoSpaceDE w:val="0"/>
        <w:autoSpaceDN w:val="0"/>
        <w:adjustRightInd w:val="0"/>
        <w:spacing w:line="240" w:lineRule="auto"/>
        <w:ind w:left="640" w:hanging="640"/>
        <w:jc w:val="both"/>
        <w:rPr>
          <w:rFonts w:ascii="Cambria" w:hAnsi="Cambria" w:cs="Times New Roman"/>
          <w:noProof/>
          <w:sz w:val="18"/>
          <w:szCs w:val="24"/>
        </w:rPr>
      </w:pPr>
      <w:r w:rsidRPr="001D36FC">
        <w:rPr>
          <w:rFonts w:ascii="Cambria" w:hAnsi="Cambria"/>
          <w:sz w:val="18"/>
          <w:szCs w:val="24"/>
        </w:rPr>
        <w:fldChar w:fldCharType="begin" w:fldLock="1"/>
      </w:r>
      <w:r w:rsidRPr="001D36FC">
        <w:rPr>
          <w:rFonts w:ascii="Cambria" w:hAnsi="Cambria"/>
          <w:sz w:val="18"/>
          <w:szCs w:val="24"/>
        </w:rPr>
        <w:instrText xml:space="preserve">ADDIN Mendeley Bibliography CSL_BIBLIOGRAPHY </w:instrText>
      </w:r>
      <w:r w:rsidRPr="001D36FC">
        <w:rPr>
          <w:rFonts w:ascii="Cambria" w:hAnsi="Cambria"/>
          <w:sz w:val="18"/>
          <w:szCs w:val="24"/>
        </w:rPr>
        <w:fldChar w:fldCharType="separate"/>
      </w:r>
      <w:r w:rsidRPr="001D36FC">
        <w:rPr>
          <w:rFonts w:ascii="Cambria" w:hAnsi="Cambria" w:cs="Times New Roman"/>
          <w:noProof/>
          <w:sz w:val="18"/>
          <w:szCs w:val="24"/>
        </w:rPr>
        <w:t>1.</w:t>
      </w:r>
      <w:r>
        <w:rPr>
          <w:rFonts w:ascii="Cambria" w:hAnsi="Cambria" w:cs="Times New Roman"/>
          <w:noProof/>
          <w:sz w:val="18"/>
          <w:szCs w:val="24"/>
        </w:rPr>
        <w:t xml:space="preserve"> </w:t>
      </w:r>
      <w:r w:rsidRPr="001D36FC">
        <w:rPr>
          <w:rFonts w:ascii="Cambria" w:hAnsi="Cambria" w:cs="Times New Roman"/>
          <w:noProof/>
          <w:sz w:val="18"/>
          <w:szCs w:val="24"/>
        </w:rPr>
        <w:t xml:space="preserve">Oyler-McCance, S. J., Oh, K. P., Langin, K. M. &amp; Aldridge, C. L. A field ornithologist’s guide to genomics: practical considerations for ecology and conservation. </w:t>
      </w:r>
      <w:r w:rsidRPr="001D36FC">
        <w:rPr>
          <w:rFonts w:ascii="Cambria" w:hAnsi="Cambria" w:cs="Times New Roman"/>
          <w:i/>
          <w:iCs/>
          <w:noProof/>
          <w:sz w:val="18"/>
          <w:szCs w:val="24"/>
        </w:rPr>
        <w:t>Auk</w:t>
      </w:r>
      <w:r w:rsidRPr="001D36FC">
        <w:rPr>
          <w:rFonts w:ascii="Cambria" w:hAnsi="Cambria" w:cs="Times New Roman"/>
          <w:noProof/>
          <w:sz w:val="18"/>
          <w:szCs w:val="24"/>
        </w:rPr>
        <w:t xml:space="preserve"> </w:t>
      </w:r>
      <w:r w:rsidRPr="001D36FC">
        <w:rPr>
          <w:rFonts w:ascii="Cambria" w:hAnsi="Cambria" w:cs="Times New Roman"/>
          <w:b/>
          <w:bCs/>
          <w:noProof/>
          <w:sz w:val="18"/>
          <w:szCs w:val="24"/>
        </w:rPr>
        <w:t>133,</w:t>
      </w:r>
      <w:r w:rsidRPr="001D36FC">
        <w:rPr>
          <w:rFonts w:ascii="Cambria" w:hAnsi="Cambria" w:cs="Times New Roman"/>
          <w:noProof/>
          <w:sz w:val="18"/>
          <w:szCs w:val="24"/>
        </w:rPr>
        <w:t xml:space="preserve"> 626–648 (2016).</w:t>
      </w:r>
    </w:p>
    <w:p w14:paraId="665AEE99" w14:textId="4FF8EAFF" w:rsidR="001D36FC" w:rsidRPr="001D36FC" w:rsidRDefault="001D36FC" w:rsidP="001D36FC">
      <w:pPr>
        <w:widowControl w:val="0"/>
        <w:autoSpaceDE w:val="0"/>
        <w:autoSpaceDN w:val="0"/>
        <w:adjustRightInd w:val="0"/>
        <w:spacing w:line="240" w:lineRule="auto"/>
        <w:ind w:left="640" w:hanging="640"/>
        <w:jc w:val="both"/>
        <w:rPr>
          <w:rFonts w:ascii="Cambria" w:hAnsi="Cambria" w:cs="Times New Roman"/>
          <w:noProof/>
          <w:sz w:val="18"/>
          <w:szCs w:val="24"/>
        </w:rPr>
      </w:pPr>
      <w:r w:rsidRPr="001D36FC">
        <w:rPr>
          <w:rFonts w:ascii="Cambria" w:hAnsi="Cambria" w:cs="Times New Roman"/>
          <w:noProof/>
          <w:sz w:val="18"/>
          <w:szCs w:val="24"/>
        </w:rPr>
        <w:t>2.</w:t>
      </w:r>
      <w:r>
        <w:rPr>
          <w:rFonts w:ascii="Cambria" w:hAnsi="Cambria" w:cs="Times New Roman"/>
          <w:noProof/>
          <w:sz w:val="18"/>
          <w:szCs w:val="24"/>
        </w:rPr>
        <w:t xml:space="preserve"> </w:t>
      </w:r>
      <w:r w:rsidRPr="001D36FC">
        <w:rPr>
          <w:rFonts w:ascii="Cambria" w:hAnsi="Cambria" w:cs="Times New Roman"/>
          <w:noProof/>
          <w:sz w:val="18"/>
          <w:szCs w:val="24"/>
        </w:rPr>
        <w:t xml:space="preserve">Lemmon, E. M. &amp; Lemmon, A. R. High-throughput genomic data in systematics and phylogenetics. </w:t>
      </w:r>
      <w:r w:rsidRPr="001D36FC">
        <w:rPr>
          <w:rFonts w:ascii="Cambria" w:hAnsi="Cambria" w:cs="Times New Roman"/>
          <w:i/>
          <w:iCs/>
          <w:noProof/>
          <w:sz w:val="18"/>
          <w:szCs w:val="24"/>
        </w:rPr>
        <w:t>Annu. Rev. Ecol. Evol. Syst.</w:t>
      </w:r>
      <w:r w:rsidRPr="001D36FC">
        <w:rPr>
          <w:rFonts w:ascii="Cambria" w:hAnsi="Cambria" w:cs="Times New Roman"/>
          <w:noProof/>
          <w:sz w:val="18"/>
          <w:szCs w:val="24"/>
        </w:rPr>
        <w:t xml:space="preserve"> </w:t>
      </w:r>
      <w:r w:rsidRPr="001D36FC">
        <w:rPr>
          <w:rFonts w:ascii="Cambria" w:hAnsi="Cambria" w:cs="Times New Roman"/>
          <w:b/>
          <w:bCs/>
          <w:noProof/>
          <w:sz w:val="18"/>
          <w:szCs w:val="24"/>
        </w:rPr>
        <w:t>44,</w:t>
      </w:r>
      <w:r w:rsidRPr="001D36FC">
        <w:rPr>
          <w:rFonts w:ascii="Cambria" w:hAnsi="Cambria" w:cs="Times New Roman"/>
          <w:noProof/>
          <w:sz w:val="18"/>
          <w:szCs w:val="24"/>
        </w:rPr>
        <w:t xml:space="preserve"> 99–121 (2013).</w:t>
      </w:r>
    </w:p>
    <w:p w14:paraId="498047B0" w14:textId="26D4D62E" w:rsidR="001D36FC" w:rsidRPr="001D36FC" w:rsidRDefault="001D36FC" w:rsidP="001D36FC">
      <w:pPr>
        <w:widowControl w:val="0"/>
        <w:autoSpaceDE w:val="0"/>
        <w:autoSpaceDN w:val="0"/>
        <w:adjustRightInd w:val="0"/>
        <w:spacing w:line="240" w:lineRule="auto"/>
        <w:ind w:left="640" w:hanging="640"/>
        <w:jc w:val="both"/>
        <w:rPr>
          <w:rFonts w:ascii="Cambria" w:hAnsi="Cambria"/>
          <w:noProof/>
          <w:sz w:val="18"/>
        </w:rPr>
      </w:pPr>
      <w:r w:rsidRPr="001D36FC">
        <w:rPr>
          <w:rFonts w:ascii="Cambria" w:hAnsi="Cambria" w:cs="Times New Roman"/>
          <w:noProof/>
          <w:sz w:val="18"/>
          <w:szCs w:val="24"/>
        </w:rPr>
        <w:t>3.</w:t>
      </w:r>
      <w:r>
        <w:rPr>
          <w:rFonts w:ascii="Cambria" w:hAnsi="Cambria" w:cs="Times New Roman"/>
          <w:noProof/>
          <w:sz w:val="18"/>
          <w:szCs w:val="24"/>
        </w:rPr>
        <w:t xml:space="preserve"> </w:t>
      </w:r>
      <w:r w:rsidRPr="001D36FC">
        <w:rPr>
          <w:rFonts w:ascii="Cambria" w:hAnsi="Cambria" w:cs="Times New Roman"/>
          <w:noProof/>
          <w:sz w:val="18"/>
          <w:szCs w:val="24"/>
        </w:rPr>
        <w:t xml:space="preserve">Eaton, D. A. R. PyRAD: Assembly of de novo RADseq loci for phylogenetic analyses. </w:t>
      </w:r>
      <w:r w:rsidRPr="001D36FC">
        <w:rPr>
          <w:rFonts w:ascii="Cambria" w:hAnsi="Cambria" w:cs="Times New Roman"/>
          <w:i/>
          <w:iCs/>
          <w:noProof/>
          <w:sz w:val="18"/>
          <w:szCs w:val="24"/>
        </w:rPr>
        <w:t>Bioinformatics</w:t>
      </w:r>
      <w:r w:rsidRPr="001D36FC">
        <w:rPr>
          <w:rFonts w:ascii="Cambria" w:hAnsi="Cambria" w:cs="Times New Roman"/>
          <w:noProof/>
          <w:sz w:val="18"/>
          <w:szCs w:val="24"/>
        </w:rPr>
        <w:t xml:space="preserve"> </w:t>
      </w:r>
      <w:r w:rsidRPr="001D36FC">
        <w:rPr>
          <w:rFonts w:ascii="Cambria" w:hAnsi="Cambria" w:cs="Times New Roman"/>
          <w:b/>
          <w:bCs/>
          <w:noProof/>
          <w:sz w:val="18"/>
          <w:szCs w:val="24"/>
        </w:rPr>
        <w:t>30,</w:t>
      </w:r>
      <w:r w:rsidRPr="001D36FC">
        <w:rPr>
          <w:rFonts w:ascii="Cambria" w:hAnsi="Cambria" w:cs="Times New Roman"/>
          <w:noProof/>
          <w:sz w:val="18"/>
          <w:szCs w:val="24"/>
        </w:rPr>
        <w:t xml:space="preserve"> 1844–1849</w:t>
      </w:r>
      <w:r>
        <w:rPr>
          <w:rFonts w:ascii="Cambria" w:hAnsi="Cambria" w:cs="Times New Roman"/>
          <w:noProof/>
          <w:sz w:val="18"/>
          <w:szCs w:val="24"/>
        </w:rPr>
        <w:t xml:space="preserve"> </w:t>
      </w:r>
      <w:r w:rsidRPr="001D36FC">
        <w:rPr>
          <w:rFonts w:ascii="Cambria" w:hAnsi="Cambria" w:cs="Times New Roman"/>
          <w:noProof/>
          <w:sz w:val="18"/>
          <w:szCs w:val="24"/>
        </w:rPr>
        <w:t>(2014).</w:t>
      </w:r>
    </w:p>
    <w:p w14:paraId="18C759D0" w14:textId="2C202DB1" w:rsidR="001D36FC" w:rsidRPr="00D1418E" w:rsidRDefault="001D36FC" w:rsidP="001D36FC">
      <w:pPr>
        <w:spacing w:line="240" w:lineRule="auto"/>
        <w:jc w:val="both"/>
        <w:rPr>
          <w:rFonts w:ascii="Cambria" w:hAnsi="Cambria"/>
          <w:sz w:val="24"/>
          <w:szCs w:val="24"/>
        </w:rPr>
      </w:pPr>
      <w:r w:rsidRPr="001D36FC">
        <w:rPr>
          <w:rFonts w:ascii="Cambria" w:hAnsi="Cambria"/>
          <w:sz w:val="18"/>
          <w:szCs w:val="24"/>
        </w:rPr>
        <w:fldChar w:fldCharType="end"/>
      </w:r>
    </w:p>
    <w:sectPr w:rsidR="001D36FC" w:rsidRPr="00D1418E" w:rsidSect="00ED6B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26"/>
    <w:rsid w:val="00031515"/>
    <w:rsid w:val="000733B4"/>
    <w:rsid w:val="001D36FC"/>
    <w:rsid w:val="002578A1"/>
    <w:rsid w:val="0042197B"/>
    <w:rsid w:val="005470AD"/>
    <w:rsid w:val="005D3604"/>
    <w:rsid w:val="00742326"/>
    <w:rsid w:val="008B30DF"/>
    <w:rsid w:val="00BA0F0A"/>
    <w:rsid w:val="00D1418E"/>
    <w:rsid w:val="00DF0B23"/>
    <w:rsid w:val="00E162D7"/>
    <w:rsid w:val="00ED6BB2"/>
    <w:rsid w:val="00EF7F16"/>
    <w:rsid w:val="00F60C10"/>
    <w:rsid w:val="00FE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F300"/>
  <w15:chartTrackingRefBased/>
  <w15:docId w15:val="{7787C7A0-47DF-4A2E-B86E-29CEC438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BAD3-92F8-46B5-AD8C-4CE182C8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Rocha</dc:creator>
  <cp:keywords/>
  <dc:description/>
  <cp:lastModifiedBy>Lucas Rocha</cp:lastModifiedBy>
  <cp:revision>3</cp:revision>
  <dcterms:created xsi:type="dcterms:W3CDTF">2018-03-20T18:07:00Z</dcterms:created>
  <dcterms:modified xsi:type="dcterms:W3CDTF">2018-03-20T20:14:00Z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14f26c2e-faeb-363e-b675-586e1cfb6332</vt:lpwstr>
  </property>
  <property fmtid="{D5CDD505-2E9C-101B-9397-08002B2CF9AE}" pid="24" name="Mendeley Citation Style_1">
    <vt:lpwstr>http://www.zotero.org/styles/nature</vt:lpwstr>
  </property>
</Properties>
</file>