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Ofício nº ----------------/${year}/CREURB/${entity}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${city}/${uf}, ${current_date}.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À sua Senhoria Advogado-Geral do Estado de Minas Gerais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ONOFRE ALVES BATISTA JÚNIOR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Rua Espírito Santo, nº 495, Centro.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30.160-030. Belo Horizonte-MG.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Assunto: Notificação da Lavratura de Auto de Demarcação Urbanística.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Senhor Advogado-Geral, </w:t>
      </w:r>
    </w:p>
    <w:p>
      <w:pPr>
        <w:spacing w:before="0" w:after="0" w:line="240"/>
        <w:ind w:right="0" w:left="708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Informo que está em trâmite neste Município um processo administrativo para fins de Regularização Fundiária Urbana de Interesse Social, sob o nº ${process_number}, com área total de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25.361,75 m²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localizada no ${core_name}, com a descrição georreferenciada a seguir: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Inicia-se a descrição deste perímetro no vértice V-01, de coordenadas N 8.321.615,64m e E 768.596,39m; deste, segue confrontando com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ESPÓLIO DE HERMÍNIO DE SÁ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,  com azimute 125°19'21" e distância de 32,49 m até o vértice V-02, de coordenadas N 8.321.596,86m e E 768.622,90m;  com azimute 36°03'34" e de deste perímetro. Todas as coordenadas aqui descritas estão georreferenciadas ao Sistema Geodésico Brasileiro, e encontram-se representadas no Sistema U T M, referenciadas ao Meridiano Central 45°00' WGr, tendo como o Datum o SIRGAS2000. Todos os azimutes e distâncias, área e perímetro foram calculados no plano de projeção U T M.</w:t>
      </w:r>
    </w:p>
    <w:p>
      <w:pPr>
        <w:spacing w:before="0" w:after="0" w:line="240"/>
        <w:ind w:right="0" w:left="0" w:firstLine="708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 xml:space="preserve">O perímetro acima está inserido na área da matrícula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4030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, com área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27,37 ha (vinte e sete hectares e trinta e sete ares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), de propriedade do Estado de Minas Gerais, devidamente registrada no Cartório de Registro de Imóveis de Rio Pardo de Minas - MG.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Consta, ainda, que a Escola Estadual Edson Alves Pereira está inserida dentro do referido perímetro, conforme Matrícula 2565, do C.R.I de Rio Pardo de Minas-MG, com área registrada de 3.508,80 m² (três mil quinhentos e oito metros e oitenta centímetros quadrados), do referido Cartório de Imóveis.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 xml:space="preserve">Encaminho, por oportuno, auto de demarcação urbanística, cópias do mapa, memorial descritivo (uma via física e outra em mídia) e certidões das matrículas acima mencionadas.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  <w:t xml:space="preserve">Assim, em atendimento ao art. 19°, §2º, inciso III e art 20°, da Lei 13.465/17, e art. 13° do Decreto n° 9.310/18,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NOTIFICO-O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que se manifeste, caso queira, no prazo de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30 dias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quanto: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7" w:line="240"/>
        <w:ind w:right="0" w:left="1080" w:hanging="72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à anuência ou oposição ao procedimento, na hipótese de a área a ser demarcada abranger imóvel público; </w:t>
      </w:r>
    </w:p>
    <w:p>
      <w:pPr>
        <w:numPr>
          <w:ilvl w:val="0"/>
          <w:numId w:val="10"/>
        </w:numPr>
        <w:spacing w:before="0" w:after="7" w:line="240"/>
        <w:ind w:right="0" w:left="1080" w:hanging="72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aos limites definidos no auto de demarcação urbanística, na hipótese de a área a ser demarcada confrontar com imóvel público; </w:t>
      </w:r>
    </w:p>
    <w:p>
      <w:pPr>
        <w:numPr>
          <w:ilvl w:val="0"/>
          <w:numId w:val="10"/>
        </w:numPr>
        <w:spacing w:before="0" w:after="7" w:line="240"/>
        <w:ind w:right="0" w:left="1080" w:hanging="72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à eventual titularidade pública da área, na hipótese de inexistência de registro anterior ou de impossibilidade de identificação dos proprietários em razão de imprecisão dos registros existentes.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Atenciosamente,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ANTÔNIA DE LOURDES TEIXEIRA E SILVEIRA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Presidente da Comissão de Regularização </w:t>
      </w:r>
    </w:p>
    <w:p>
      <w:pPr>
        <w:suppressAutoHyphens w:val="true"/>
        <w:spacing w:before="0" w:after="0" w:line="240"/>
        <w:ind w:right="0" w:left="2124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Fundiária Urbana de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Montezuma-MG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5">
    <w:lvl w:ilvl="0">
      <w:start w:val="1"/>
      <w:numFmt w:val="upperRoman"/>
      <w:lvlText w:val="%1."/>
    </w:lvl>
  </w:abstractNum>
  <w:num w:numId="10">
    <w:abstractNumId w:val="5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