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BBFB" w14:textId="68193A6A" w:rsidR="009509EB" w:rsidRPr="004E31CC" w:rsidRDefault="009509EB">
      <w:pPr>
        <w:rPr>
          <w:rFonts w:ascii="Calibri" w:hAnsi="Calibri" w:cs="Calibri"/>
        </w:rPr>
      </w:pPr>
    </w:p>
    <w:p w14:paraId="3FE6955D" w14:textId="2AE2D518" w:rsidR="004E31CC" w:rsidRDefault="006201E1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189E9775" wp14:editId="6EAAA4F0">
                <wp:simplePos x="0" y="0"/>
                <wp:positionH relativeFrom="margin">
                  <wp:posOffset>91440</wp:posOffset>
                </wp:positionH>
                <wp:positionV relativeFrom="paragraph">
                  <wp:posOffset>192405</wp:posOffset>
                </wp:positionV>
                <wp:extent cx="4800600" cy="17983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79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8CB0E" w14:textId="77777777" w:rsidR="00A13C75" w:rsidRPr="00A13C75" w:rsidRDefault="00A13C75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MANUAL DE UTILIZAÇÃO</w:t>
                            </w:r>
                          </w:p>
                          <w:p w14:paraId="0C22A557" w14:textId="77777777" w:rsidR="00A13C75" w:rsidRPr="00A13C75" w:rsidRDefault="00A13C75" w:rsidP="00A13C75">
                            <w:pPr>
                              <w:spacing w:after="0" w:line="240" w:lineRule="auto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92"/>
                                <w:szCs w:val="92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92"/>
                                <w:szCs w:val="92"/>
                              </w:rPr>
                              <w:t xml:space="preserve">CONFERE</w:t>
                            </w:r>
                          </w:p>
                          <w:p w14:paraId="185EE634" w14:textId="282DB87F" w:rsidR="00CF4834" w:rsidRPr="003A10AD" w:rsidRDefault="00A13C75" w:rsidP="00A13C75">
                            <w:pPr>
                              <w:spacing w:after="0" w:line="240" w:lineRule="auto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ANÁLISE DE MEDIÇÃO CONTRATUAL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E97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7.2pt;margin-top:15.15pt;width:378pt;height:141.6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GJ+gEAANADAAAOAAAAZHJzL2Uyb0RvYy54bWysU8tu2zAQvBfoPxC817Jdu7EFy0GaNEWB&#10;9AGk/QCaoiyiJJdd0pbcr8+SUhyjvRXVgeBqucOd2eHmureGHRUGDa7is8mUM+Uk1NrtK/7j+/2b&#10;FWchClcLA05V/KQCv96+frXpfKnm0IKpFTICcaHsfMXbGH1ZFEG2yoowAa8cJRtAKyKFuC9qFB2h&#10;W1PMp9N3RQdYewSpQqC/d0OSbzN+0ygZvzZNUJGZilNvMa+Y111ai+1GlHsUvtVybEP8QxdWaEeX&#10;nqHuRBTsgPovKKslQoAmTiTYAppGS5U5EJvZ9A82j63wKnMhcYI/yxT+H6z8cnz035DF/j30NMBM&#10;IvgHkD8Dc3DbCrdXN4jQtUrUdPEsSVZ0PpRjaZI6lCGB7LrPUNOQxSFCBuobtEkV4skInQZwOouu&#10;+sgk/VysaIxTSknKza7Wq7fzPJZClM/lHkP8qMCytKk40lQzvDg+hJjaEeXzkXSbg3ttTJ6scayr&#10;+Ho5X+aCi4zVkYxntK04NUDfYIXE8oOrc3EU2gx7usC4kXZiOnCO/a6ng4n+DuoTCYAwGIweBG1a&#10;wN+cdWSuiodfB4GKM/PJkYjr2WKR3JiDxfKKGDO8zOwuM8JJgqq4jMjZENzG7OGB7Q3J3egsxEsv&#10;Y7dkm6zPaPHky8s4n3p5iNsnAAAA//8DAFBLAwQUAAYACAAAACEAWpfSd90AAAAJAQAADwAAAGRy&#10;cy9kb3ducmV2LnhtbEyPTU7DMBCF90jcwRokNojaJaVBIU6FkCqhii4oHGASu3HUeBzFbhpuz7CC&#10;5fvRm2/Kzex7MdkxdoE0LBcKhKUmmI5aDV+f2/snEDEhGewDWQ3fNsKmur4qsTDhQh92OqRW8AjF&#10;AjW4lIZCytg46zEuwmCJs2MYPSaWYyvNiBce9718UGotPXbEFxwO9tXZ5nQ4ew13blD79+NbvTXr&#10;xp12EXM/7bS+vZlfnkEkO6e/MvziMzpUzFSHM5koetarFTc1ZCoDwXmeKzZqNpbZI8iqlP8/qH4A&#10;AAD//wMAUEsBAi0AFAAGAAgAAAAhALaDOJL+AAAA4QEAABMAAAAAAAAAAAAAAAAAAAAAAFtDb250&#10;ZW50X1R5cGVzXS54bWxQSwECLQAUAAYACAAAACEAOP0h/9YAAACUAQAACwAAAAAAAAAAAAAAAAAv&#10;AQAAX3JlbHMvLnJlbHNQSwECLQAUAAYACAAAACEA3nmBifoBAADQAwAADgAAAAAAAAAAAAAAAAAu&#10;AgAAZHJzL2Uyb0RvYy54bWxQSwECLQAUAAYACAAAACEAWpfSd90AAAAJAQAADwAAAAAAAAAAAAAA&#10;AABUBAAAZHJzL2Rvd25yZXYueG1sUEsFBgAAAAAEAAQA8wAAAF4FAAAAAA==&#10;" filled="f" stroked="f">
                <v:textbox>
                  <w:txbxContent>
                    <w:p w14:paraId="22C8CB0E" w14:textId="77777777" w:rsidR="00A13C75" w:rsidRPr="00A13C75" w:rsidRDefault="00A13C75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MANUAL DE UTILIZAÇÃO</w:t>
                      </w:r>
                    </w:p>
                    <w:p w14:paraId="0C22A557" w14:textId="77777777" w:rsidR="00A13C75" w:rsidRPr="00A13C75" w:rsidRDefault="00A13C75" w:rsidP="00A13C75">
                      <w:pPr>
                        <w:spacing w:after="0" w:line="240" w:lineRule="auto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92"/>
                          <w:szCs w:val="92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92"/>
                          <w:szCs w:val="92"/>
                        </w:rPr>
                        <w:t xml:space="preserve">CONFERE</w:t>
                      </w:r>
                    </w:p>
                    <w:p w14:paraId="185EE634" w14:textId="282DB87F" w:rsidR="00CF4834" w:rsidRPr="003A10AD" w:rsidRDefault="00A13C75" w:rsidP="00A13C75">
                      <w:pPr>
                        <w:spacing w:after="0" w:line="240" w:lineRule="auto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ANÁLISE DE MEDIÇÃO CONTRATUAL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1CC">
        <w:rPr>
          <w:noProof/>
        </w:rPr>
        <w:drawing>
          <wp:anchor distT="0" distB="0" distL="114300" distR="114300" simplePos="0" relativeHeight="251671040" behindDoc="1" locked="1" layoutInCell="1" allowOverlap="1" wp14:anchorId="4EC6F390" wp14:editId="01A4EEE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9675" cy="10697845"/>
            <wp:effectExtent l="0" t="0" r="3175" b="8255"/>
            <wp:wrapNone/>
            <wp:docPr id="1981105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6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FDC47" w14:textId="6530F4C9" w:rsidR="004E31CC" w:rsidRDefault="004E31CC" w:rsidP="008873C2">
      <w:pPr>
        <w:spacing w:after="120"/>
      </w:pPr>
    </w:p>
    <w:p w14:paraId="19E7BA18" w14:textId="536A9861" w:rsidR="004E31CC" w:rsidRDefault="004E31CC" w:rsidP="008873C2">
      <w:pPr>
        <w:spacing w:after="120"/>
      </w:pPr>
    </w:p>
    <w:p w14:paraId="0D17CF81" w14:textId="055FE55A" w:rsidR="004E31CC" w:rsidRDefault="004E31CC" w:rsidP="008873C2">
      <w:pPr>
        <w:spacing w:after="120"/>
      </w:pPr>
    </w:p>
    <w:p w14:paraId="01DBFC84" w14:textId="71FEDFEC" w:rsidR="004E31CC" w:rsidRDefault="004E31CC" w:rsidP="008873C2">
      <w:pPr>
        <w:spacing w:after="120"/>
      </w:pPr>
    </w:p>
    <w:p w14:paraId="2BB72FB7" w14:textId="77777777" w:rsidR="004E31CC" w:rsidRDefault="004E31CC" w:rsidP="008873C2">
      <w:pPr>
        <w:spacing w:after="120"/>
      </w:pPr>
    </w:p>
    <w:p w14:paraId="0FE8670A" w14:textId="2548FEE0" w:rsidR="004E31CC" w:rsidRDefault="004E31CC" w:rsidP="008873C2">
      <w:pPr>
        <w:spacing w:after="120"/>
      </w:pPr>
    </w:p>
    <w:p w14:paraId="7726D4A2" w14:textId="7C66914B" w:rsidR="004E31CC" w:rsidRDefault="00044F60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08733B62" wp14:editId="3DD4AB36">
                <wp:simplePos x="0" y="0"/>
                <wp:positionH relativeFrom="margin">
                  <wp:posOffset>449579</wp:posOffset>
                </wp:positionH>
                <wp:positionV relativeFrom="paragraph">
                  <wp:posOffset>47625</wp:posOffset>
                </wp:positionV>
                <wp:extent cx="5267325" cy="1476375"/>
                <wp:effectExtent l="0" t="0" r="0" b="0"/>
                <wp:wrapNone/>
                <wp:docPr id="6189773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147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8F835" w14:textId="77777777" w:rsidR="006201E1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  <w:t xml:space="preserve">Conferência da medição mensal de contratos de TIC</w:t>
                            </w:r>
                          </w:p>
                          <w:p w14:paraId="104A7332" w14:textId="77777777" w:rsidR="00044F60" w:rsidRPr="0045551F" w:rsidRDefault="00044F60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</w:p>
                          <w:p w14:paraId="0726C62D" w14:textId="77777777" w:rsidR="006201E1" w:rsidRPr="0045551F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  <w:t xml:space="preserve">Documento de apoio à operação</w:t>
                            </w:r>
                          </w:p>
                          <w:p w14:paraId="08460C1B" w14:textId="758D534F" w:rsidR="004E31CC" w:rsidRPr="0045551F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</w:rPr>
                              <w:t xml:space="preserve">Versão 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33B62" id="_x0000_s1027" type="#_x0000_t202" style="position:absolute;margin-left:35.4pt;margin-top:3.75pt;width:414.75pt;height:116.2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DA/AEAANcDAAAOAAAAZHJzL2Uyb0RvYy54bWysU8tu2zAQvBfoPxC817IdPxLBcpAmTVEg&#10;fQBpP4CmKIsoyWWXtKX067ukFMdIb0V1ILhccXZndri57q1hR4VBg6v4bDLlTDkJtXb7iv/4fv/u&#10;krMQhauFAacq/qQCv96+fbPpfKnm0IKpFTICcaHsfMXbGH1ZFEG2yoowAa8cJRtAKyKFuC9qFB2h&#10;W1PMp9NV0QHWHkGqEOj0bkjybcZvGiXj16YJKjJTceot5hXzuktrsd2Ico/Ct1qObYh/6MIK7ajo&#10;CepORMEOqP+CsloiBGjiRIItoGm0VJkDsZlNX7F5bIVXmQuJE/xJpvD/YOWX46P/hiz276GnAWYS&#10;wT+A/BmYg9tWuL26QYSuVaKmwrMkWdH5UI5Xk9ShDAlk132GmoYsDhEyUN+gTaoQT0boNICnk+iq&#10;j0zS4XK+Wl/Ml5xJys0W69XFeplriPL5uscQPyqwLG0qjjTVDC+ODyGmdkT5/Euq5uBeG5Mnaxzr&#10;Kn61JPxXGasjGc9oW/HLafoGKySWH1ydL0ehzbCnAsaNtBPTgXPsdz3T9ahJUmEH9RPpgDD4jN4F&#10;bVrA35x15LGKh18HgYoz88mRllezxSKZMgeL5XpOAZ5nducZ4SRBVVxG5GwIbmO28kDthlRvdNbj&#10;pZexaXJPlml0erLneZz/enmP2z8AAAD//wMAUEsDBBQABgAIAAAAIQCBuHIf3gAAAAgBAAAPAAAA&#10;ZHJzL2Rvd25yZXYueG1sTI/BTsMwEETvSPyDtUhcELUp0EKoUyGkSqiCA4UP2MTbOGq8jmI3DX/P&#10;coLTajSjmber9RQ6NdKQ2sgWbmYGFHEdXcuNha/PzfUDqJSRHXaRycI3JViX52crLFw88QeNu9wo&#10;KeFUoAWfc19onWpPAdMs9sTi7eMQMIscGu0GPEl56PTcmIUO2LIseOzpxVN92B2DhSvfm/e3/Wu1&#10;cYvaH7YJl2HcWnt5MT0/gco05b8w/OILOpTCVMUju6Q6C0sj5FnuPSixH425BVVZmN8ZA7pc6f8P&#10;lD8AAAD//wMAUEsBAi0AFAAGAAgAAAAhALaDOJL+AAAA4QEAABMAAAAAAAAAAAAAAAAAAAAAAFtD&#10;b250ZW50X1R5cGVzXS54bWxQSwECLQAUAAYACAAAACEAOP0h/9YAAACUAQAACwAAAAAAAAAAAAAA&#10;AAAvAQAAX3JlbHMvLnJlbHNQSwECLQAUAAYACAAAACEA74sAwPwBAADXAwAADgAAAAAAAAAAAAAA&#10;AAAuAgAAZHJzL2Uyb0RvYy54bWxQSwECLQAUAAYACAAAACEAgbhyH94AAAAIAQAADwAAAAAAAAAA&#10;AAAAAABWBAAAZHJzL2Rvd25yZXYueG1sUEsFBgAAAAAEAAQA8wAAAGEFAAAAAA==&#10;" filled="f" stroked="f">
                <v:textbox>
                  <w:txbxContent>
                    <w:p w14:paraId="2408F835" w14:textId="77777777" w:rsidR="006201E1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  <w:t xml:space="preserve">Conferência da medição mensal de contratos de TIC</w:t>
                      </w:r>
                    </w:p>
                    <w:p w14:paraId="104A7332" w14:textId="77777777" w:rsidR="00044F60" w:rsidRPr="0045551F" w:rsidRDefault="00044F60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</w:p>
                    <w:p w14:paraId="0726C62D" w14:textId="77777777" w:rsidR="006201E1" w:rsidRPr="0045551F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  <w:t xml:space="preserve">Documento de apoio à operação</w:t>
                      </w:r>
                    </w:p>
                    <w:p w14:paraId="08460C1B" w14:textId="758D534F" w:rsidR="004E31CC" w:rsidRPr="0045551F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</w:rPr>
                        <w:t xml:space="preserve">Versão 1.0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869379" w14:textId="10E4F6BD" w:rsidR="004E31CC" w:rsidRDefault="004E31CC" w:rsidP="008873C2">
      <w:pPr>
        <w:spacing w:after="120"/>
      </w:pPr>
    </w:p>
    <w:p w14:paraId="643D2B79" w14:textId="20E9A28A" w:rsidR="004E31CC" w:rsidRDefault="004E31CC" w:rsidP="008873C2">
      <w:pPr>
        <w:spacing w:after="120"/>
      </w:pPr>
    </w:p>
    <w:p w14:paraId="019C6877" w14:textId="135D7743" w:rsidR="004E31CC" w:rsidRDefault="004E31CC" w:rsidP="008873C2">
      <w:pPr>
        <w:spacing w:after="120"/>
      </w:pPr>
    </w:p>
    <w:p w14:paraId="5194E678" w14:textId="3FB374D9" w:rsidR="004E31CC" w:rsidRDefault="0045551F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22E0F18" wp14:editId="30C0923E">
                <wp:simplePos x="0" y="0"/>
                <wp:positionH relativeFrom="margin">
                  <wp:posOffset>-417195</wp:posOffset>
                </wp:positionH>
                <wp:positionV relativeFrom="paragraph">
                  <wp:posOffset>262255</wp:posOffset>
                </wp:positionV>
                <wp:extent cx="7000875" cy="1323975"/>
                <wp:effectExtent l="0" t="0" r="0" b="0"/>
                <wp:wrapNone/>
                <wp:docPr id="3549850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875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5471F" w14:textId="77777777" w:rsidR="0045551F" w:rsidRPr="0003221C" w:rsidRDefault="0045551F" w:rsidP="0045551F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03221C"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DIRETORIA DE INFRAESTRUTURA E TECNOLOGIA</w:t>
                            </w:r>
                          </w:p>
                          <w:p w14:paraId="14F3622C" w14:textId="53E6149A" w:rsidR="00042213" w:rsidRPr="0003221C" w:rsidRDefault="0045551F" w:rsidP="0045551F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03221C"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GIO - GERÊNCIA DE OPERAÇÕES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0F18" id="_x0000_s1028" type="#_x0000_t202" style="position:absolute;margin-left:-32.85pt;margin-top:20.65pt;width:551.25pt;height:104.2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6d+/QEAANcDAAAOAAAAZHJzL2Uyb0RvYy54bWysU9uO2yAQfa/Uf0C8N3a8STexQlbb3W5V&#10;aXuRtv0AgnGMCgwFEjv9+g7Ym43at6oviGHgzJwzh83NYDQ5Sh8UWEbns5ISaQU0yu4Z/f7t4c2K&#10;khC5bbgGKxk9yUBvtq9fbXpXywo60I30BEFsqHvHaBejq4siiE4aHmbgpMVkC97wiKHfF43nPaIb&#10;XVRl+bbowTfOg5Ah4On9mKTbjN+2UsQvbRtkJJpR7C3m1ed1l9Ziu+H13nPXKTG1wf+hC8OVxaJn&#10;qHseOTl49ReUUcJDgDbOBJgC2lYJmTkgm3n5B5unjjuZuaA4wZ1lCv8PVnw+PrmvnsThHQw4wEwi&#10;uEcQPwKxcNdxu5e33kPfSd5g4XmSrOhdqKenSepQhwSy6z9Bg0PmhwgZaGi9SaogT4LoOIDTWXQ5&#10;RCLw8Losy9X1khKBuflVdbXGINXg9fNz50P8IMGQtGHU41QzPD8+hjhefb6Sqll4UFrnyWpLekbX&#10;y2qZH1xkjIpoPK0MoyvsoJyskFi+t01+HLnS4x570XainZiOnOOwG4hqGK1Sv0mFHTQn1MHD6DP8&#10;F7jpwP+ipEePMRp+HriXlOiPFrVczxeLZMocLJbXFQb+MrO7zHArEIpRET0lY3AXs5VH0reoequy&#10;Hi+9TE2je7Kik9OTPS/jfOvlP25/AwAA//8DAFBLAwQUAAYACAAAACEALw8hl+IAAAALAQAADwAA&#10;AGRycy9kb3ducmV2LnhtbEyPy2rDMBBF94X+g5hCNyGR86iTuh6HUgiU0C6a9gPGlmKZWCNjKY77&#10;91VW6XKYw73n5tvRtmLQvW8cI8xnCQjNlVMN1wg/37vpBoQPxIpaxxrhV3vYFvd3OWXKXfhLD4dQ&#10;ixjCPiMEE0KXSekroy35mes0x9/R9ZZCPPtaqp4uMdy2cpEkqbTUcGww1Ok3o6vT4WwRJqZLPj+O&#10;7+VOpZU57T2t7bBHfHwYX19ABD2GGwxX/agORXQq3ZmVFy3CNH1aRxRhNV+CuALJMo1jSoTF6nkD&#10;ssjl/w3FHwAAAP//AwBQSwECLQAUAAYACAAAACEAtoM4kv4AAADhAQAAEwAAAAAAAAAAAAAAAAAA&#10;AAAAW0NvbnRlbnRfVHlwZXNdLnhtbFBLAQItABQABgAIAAAAIQA4/SH/1gAAAJQBAAALAAAAAAAA&#10;AAAAAAAAAC8BAABfcmVscy8ucmVsc1BLAQItABQABgAIAAAAIQDg36d+/QEAANcDAAAOAAAAAAAA&#10;AAAAAAAAAC4CAABkcnMvZTJvRG9jLnhtbFBLAQItABQABgAIAAAAIQAvDyGX4gAAAAsBAAAPAAAA&#10;AAAAAAAAAAAAAFcEAABkcnMvZG93bnJldi54bWxQSwUGAAAAAAQABADzAAAAZgUAAAAA&#10;" filled="f" stroked="f">
                <v:textbox>
                  <w:txbxContent>
                    <w:p w14:paraId="01E5471F" w14:textId="77777777" w:rsidR="0045551F" w:rsidRPr="0003221C" w:rsidRDefault="0045551F" w:rsidP="0045551F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8"/>
                          <w:szCs w:val="38"/>
                        </w:rPr>
                      </w:pPr>
                      <w:r w:rsidRPr="0003221C">
                        <w:rPr>
                          <w:rFonts w:ascii="Exo 2" w:hAnsi="Exo 2"/>
                          <w:color w:val="FFFFFF" w:themeColor="background1"/>
                          <w:sz w:val="38"/>
                          <w:szCs w:val="38"/>
                        </w:rPr>
                        <w:t xml:space="preserve">DIRETORIA DE INFRAESTRUTURA E TECNOLOGIA</w:t>
                      </w:r>
                    </w:p>
                    <w:p w14:paraId="14F3622C" w14:textId="53E6149A" w:rsidR="00042213" w:rsidRPr="0003221C" w:rsidRDefault="0045551F" w:rsidP="0045551F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8"/>
                          <w:szCs w:val="38"/>
                        </w:rPr>
                      </w:pPr>
                      <w:r w:rsidRPr="0003221C">
                        <w:rPr>
                          <w:rFonts w:ascii="Exo 2" w:hAnsi="Exo 2"/>
                          <w:color w:val="FFFFFF" w:themeColor="background1"/>
                          <w:sz w:val="38"/>
                          <w:szCs w:val="38"/>
                        </w:rPr>
                        <w:t xml:space="preserve">GIO - GERÊNCIA DE OPERAÇÕES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62CB71" w14:textId="2979C626" w:rsidR="004E31CC" w:rsidRDefault="004E31CC" w:rsidP="008873C2">
      <w:pPr>
        <w:spacing w:after="120"/>
      </w:pPr>
    </w:p>
    <w:p w14:paraId="7AD9563D" w14:textId="2FD1FE75" w:rsidR="004E31CC" w:rsidRDefault="004E31CC" w:rsidP="008873C2">
      <w:pPr>
        <w:spacing w:after="120"/>
      </w:pPr>
    </w:p>
    <w:p w14:paraId="4FF94C03" w14:textId="77777777" w:rsidR="004E31CC" w:rsidRDefault="004E31CC" w:rsidP="008873C2">
      <w:pPr>
        <w:spacing w:after="120"/>
      </w:pPr>
    </w:p>
    <w:p w14:paraId="75C3B182" w14:textId="77777777" w:rsidR="004E31CC" w:rsidRDefault="004E31CC" w:rsidP="008873C2">
      <w:pPr>
        <w:spacing w:after="120"/>
      </w:pPr>
    </w:p>
    <w:p w14:paraId="44BBD586" w14:textId="77777777" w:rsidR="004E31CC" w:rsidRDefault="004E31CC" w:rsidP="008873C2">
      <w:pPr>
        <w:spacing w:after="120"/>
      </w:pPr>
    </w:p>
    <w:p w14:paraId="65D64DA1" w14:textId="77777777" w:rsidR="004E31CC" w:rsidRDefault="004E31CC" w:rsidP="008873C2">
      <w:pPr>
        <w:spacing w:after="120"/>
      </w:pPr>
    </w:p>
    <w:p w14:paraId="146C276E" w14:textId="77777777" w:rsidR="004E31CC" w:rsidRDefault="004E31CC" w:rsidP="008873C2">
      <w:pPr>
        <w:spacing w:after="120"/>
      </w:pPr>
    </w:p>
    <w:p w14:paraId="47866868" w14:textId="77777777" w:rsidR="004E31CC" w:rsidRDefault="004E31CC" w:rsidP="008873C2">
      <w:pPr>
        <w:spacing w:after="120"/>
      </w:pPr>
    </w:p>
    <w:p w14:paraId="28FA9829" w14:textId="77777777" w:rsidR="004E31CC" w:rsidRDefault="004E31CC" w:rsidP="008873C2">
      <w:pPr>
        <w:spacing w:after="120"/>
      </w:pPr>
    </w:p>
    <w:p>
      <w:pPr>
        <w:sectPr>
          <w:headerReference w:type="default" r:id="rId10"/>
          <w:footerReference w:type="default" r:id="rId11"/>
          <w:pgSz w:w="11906" w:h="16838"/>
          <w:pgMar w:top="1985" w:right="1077" w:bottom="1440" w:left="1077" w:header="624" w:footer="709" w:gutter="0"/>
          <w:cols w:space="708"/>
          <w:docGrid w:linePitch="360"/>
        </w:sectPr>
      </w:pP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Sumário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585"/>
        <w:gridCol w:w="3121"/>
        <w:gridCol w:w="6046"/>
      </w:tblGrid>
      <w:tr>
        <w:trPr>
          <w:tblHeader/>
          <w:cantSplit/>
        </w:trPr>
        <w:tc>
          <w:tcPr>
            <w:tcW w:type="dxa" w:w="585"/>
            <w:shd w:val="clear" w:color="auto" w:fill="0E3E5E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312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Capítulo</w:t>
            </w:r>
          </w:p>
        </w:tc>
        <w:tc>
          <w:tcPr>
            <w:tcW w:type="dxa" w:w="604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você encontra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Sobre este manual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quem se destina e as convenções do texto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2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o Confere faz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problema, as entradas e as saídas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3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Antes de começar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ter em mãos antes de abrir a aplicação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4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tela do Confere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As quatro áreas da interface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5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Passo a passo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Gerar o relatório, do envio ao download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6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Ler o resultado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Análise da medição e grid de divergências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7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arquivos gerados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documento em DOCX e a análise em XLSX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8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Avisos, bloqueios e erros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cada mensagem significa e o que fazer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9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Conferência final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verificar antes de encaminhar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10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Operação por teclado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Uso sem mouse e recursos de acessibilidade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11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o Confere não faz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limites deliberados do escopo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12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Limitações conhecidas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afeta a leitura do resultado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13</w:t>
            </w:r>
          </w:p>
        </w:tc>
        <w:tc>
          <w:tcPr>
            <w:tcW w:type="dxa" w:w="31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Perguntas frequentes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As dúvidas que mais aparecem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14</w:t>
            </w:r>
          </w:p>
        </w:tc>
        <w:tc>
          <w:tcPr>
            <w:tcW w:type="dxa" w:w="31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Glossário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termos deste manual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1. Sobre este manual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1.1 A quem se destina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Este manual é para quem </w:t>
      </w:r>
      <w:r>
        <w:rPr>
          <w:b/>
          <w:i w:val="0"/>
          <w:color w:val="0B2235"/>
          <w:sz w:val="21"/>
        </w:rPr>
        <w:t>opera</w:t>
      </w:r>
      <w:r>
        <w:rPr>
          <w:b w:val="0"/>
          <w:i w:val="0"/>
          <w:color w:val="0B2235"/>
          <w:sz w:val="21"/>
        </w:rPr>
        <w:t xml:space="preserve"> o Confere: o analista que monta a comprovação da medição a cada competência, o fiscal que confere o resultado e quem responde pelo contrato. Ele descreve a aplicação do ponto de vista de quem a usa — o que enviar, o que a tela mostra, o que cada arquivo gerado contém e o que fazer quando o sistema avisa ou bloqueia.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Não é documentação técnica. Não há aqui instalação, configuração, arquitetura nem comandos de terminal: para isso existem o </w:t>
      </w:r>
      <w:r>
        <w:rPr>
          <w:rFonts w:ascii="Consolas" w:hAnsi="Consolas" w:cs="Consolas"/>
          <w:b w:val="0"/>
          <w:i w:val="0"/>
          <w:color w:val="0B2235"/>
          <w:sz w:val="19"/>
        </w:rPr>
        <w:t>README</w:t>
      </w:r>
      <w:r>
        <w:rPr>
          <w:b w:val="0"/>
          <w:i w:val="0"/>
          <w:color w:val="0B2235"/>
          <w:sz w:val="21"/>
        </w:rPr>
        <w:t xml:space="preserve"> do projeto e as especificações em </w:t>
      </w:r>
      <w:r>
        <w:rPr>
          <w:rFonts w:ascii="Consolas" w:hAnsi="Consolas" w:cs="Consolas"/>
          <w:b w:val="0"/>
          <w:i w:val="0"/>
          <w:color w:val="0B2235"/>
          <w:sz w:val="19"/>
        </w:rPr>
        <w:t>docs/specs/</w:t>
      </w:r>
      <w:r>
        <w:rPr>
          <w:b w:val="0"/>
          <w:i w:val="0"/>
          <w:color w:val="0B2235"/>
          <w:sz w:val="21"/>
        </w:rPr>
        <w:t>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1.2 Convenções do texto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536"/>
        <w:gridCol w:w="7216"/>
      </w:tblGrid>
      <w:tr>
        <w:trPr>
          <w:tblHeader/>
          <w:cantSplit/>
        </w:trPr>
        <w:tc>
          <w:tcPr>
            <w:tcW w:type="dxa" w:w="253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Marcação</w:t>
            </w:r>
          </w:p>
        </w:tc>
        <w:tc>
          <w:tcPr>
            <w:tcW w:type="dxa" w:w="72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Significa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Negrito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Rótulo que aparece na tela — botão, campo, título de bloco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Monoespaçado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Nome de arquivo, código de serviço, aba de planilha ou identificador de validação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Tarja laranja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Ponto de atenção: erro comum, consequência que não se desfaz ou ressalva que muda a leitura do número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Os exemplos numéricos vêm do contrato-piloto — </w:t>
      </w:r>
      <w:r>
        <w:rPr>
          <w:rFonts w:ascii="Consolas" w:hAnsi="Consolas" w:cs="Consolas"/>
          <w:b w:val="0"/>
          <w:i w:val="0"/>
          <w:color w:val="0B2235"/>
          <w:sz w:val="19"/>
        </w:rPr>
        <w:t>TC 52/SMIT/2024</w:t>
      </w:r>
      <w:r>
        <w:rPr>
          <w:b w:val="0"/>
          <w:i w:val="0"/>
          <w:color w:val="0B2235"/>
          <w:sz w:val="21"/>
        </w:rPr>
        <w:t>, competência julho/2026. Os números do seu caso serão outros; a leitura é a mesma.</w:t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2. O que o Confere faz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2.1 O problema que ele resolve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 conferência entre o que foi </w:t>
      </w:r>
      <w:r>
        <w:rPr>
          <w:b/>
          <w:i w:val="0"/>
          <w:color w:val="0B2235"/>
          <w:sz w:val="21"/>
        </w:rPr>
        <w:t>contratado</w:t>
      </w:r>
      <w:r>
        <w:rPr>
          <w:b w:val="0"/>
          <w:i w:val="0"/>
          <w:color w:val="0B2235"/>
          <w:sz w:val="21"/>
        </w:rPr>
        <w:t xml:space="preserve"> e o que foi </w:t>
      </w:r>
      <w:r>
        <w:rPr>
          <w:b/>
          <w:i w:val="0"/>
          <w:color w:val="0B2235"/>
          <w:sz w:val="21"/>
        </w:rPr>
        <w:t>medido</w:t>
      </w:r>
      <w:r>
        <w:rPr>
          <w:b w:val="0"/>
          <w:i w:val="0"/>
          <w:color w:val="0B2235"/>
          <w:sz w:val="21"/>
        </w:rPr>
        <w:t xml:space="preserve"> é trabalho manual. A cada competência, para cada contrato, alguém abre a proposta comercial em PDF, abre a planilha de levantamento com 22 abas e, item por item, localiza o código nas duas fontes, soma as linhas correspondentes, escolhe a variante certa da medição e transcreve o resultado para a tabela de comprovação.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Nenhuma dessas etapas é difícil. </w:t>
      </w:r>
      <w:r>
        <w:rPr>
          <w:b/>
          <w:i w:val="0"/>
          <w:color w:val="0B2235"/>
          <w:sz w:val="21"/>
        </w:rPr>
        <w:t>A soma delas é que consome o dia</w:t>
      </w:r>
      <w:r>
        <w:rPr>
          <w:b w:val="0"/>
          <w:i w:val="0"/>
          <w:color w:val="0B2235"/>
          <w:sz w:val="21"/>
        </w:rPr>
        <w:t xml:space="preserve"> — e o resultado é peça de processo administrativo, lida por fiscal de contrato, controle interno e órgão de fiscalização.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Confere automatiza esse trabalho inteiro: </w:t>
      </w:r>
      <w:r>
        <w:rPr>
          <w:b/>
          <w:i w:val="0"/>
          <w:color w:val="0B2235"/>
          <w:sz w:val="21"/>
        </w:rPr>
        <w:t>dois arquivos entram, dois saem</w:t>
      </w:r>
      <w:r>
        <w:rPr>
          <w:b w:val="0"/>
          <w:i w:val="0"/>
          <w:color w:val="0B2235"/>
          <w:sz w:val="21"/>
        </w:rPr>
        <w:t>, e a tela mostra onde os números não bateram.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2.2 O que entra e o que sai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878"/>
        <w:gridCol w:w="1853"/>
        <w:gridCol w:w="975"/>
        <w:gridCol w:w="6046"/>
      </w:tblGrid>
      <w:tr>
        <w:trPr>
          <w:tblHeader/>
          <w:cantSplit/>
        </w:trPr>
        <w:tc>
          <w:tcPr>
            <w:tcW w:type="dxa" w:w="878"/>
            <w:shd w:val="clear" w:color="auto" w:fill="0E3E5E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3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975"/>
            <w:shd w:val="clear" w:color="auto" w:fill="0E3E5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Formato</w:t>
            </w:r>
          </w:p>
        </w:tc>
        <w:tc>
          <w:tcPr>
            <w:tcW w:type="dxa" w:w="604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a aplicação consome ou produz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Entra</w:t>
            </w:r>
          </w:p>
        </w:tc>
        <w:tc>
          <w:tcPr>
            <w:tcW w:type="dxa" w:w="1853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Contrato</w:t>
            </w:r>
          </w:p>
        </w:tc>
        <w:tc>
          <w:tcPr>
            <w:tcW w:type="dxa" w:w="97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PDF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tabela de itens da proposta comercial vigente: código, descrição e quantidade contratada</w:t>
            </w:r>
          </w:p>
        </w:tc>
      </w:tr>
      <w:tr>
        <w:trPr>
          <w:cantSplit/>
        </w:trPr>
        <w:tc>
          <w:tcPr>
            <w:tcW w:type="dxa" w:w="878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Entra</w:t>
            </w:r>
          </w:p>
        </w:tc>
        <w:tc>
          <w:tcPr>
            <w:tcW w:type="dxa" w:w="1853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Levantamento</w:t>
            </w:r>
          </w:p>
        </w:tc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XLSX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Código e quantidade medida, da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  <w:r>
              <w:rPr>
                <w:b w:val="0"/>
                <w:i w:val="0"/>
                <w:color w:val="0B2235"/>
                <w:sz w:val="18"/>
              </w:rPr>
              <w:t>; e as 19 abas de detalhe, que viram os anexos do documento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Sai</w:t>
            </w:r>
          </w:p>
        </w:tc>
        <w:tc>
          <w:tcPr>
            <w:tcW w:type="dxa" w:w="1853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Relatório de comprovação</w:t>
            </w:r>
          </w:p>
        </w:tc>
        <w:tc>
          <w:tcPr>
            <w:tcW w:type="dxa" w:w="97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DOCX</w:t>
            </w:r>
          </w:p>
        </w:tc>
        <w:tc>
          <w:tcPr>
            <w:tcW w:type="dxa" w:w="604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entregável formal: capa institucional, tabela de comprovação e anexos de detalhamento — cerca de 41 páginas</w:t>
            </w:r>
          </w:p>
        </w:tc>
      </w:tr>
      <w:tr>
        <w:trPr>
          <w:cantSplit/>
        </w:trPr>
        <w:tc>
          <w:tcPr>
            <w:tcW w:type="dxa" w:w="878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Sai</w:t>
            </w:r>
          </w:p>
        </w:tc>
        <w:tc>
          <w:tcPr>
            <w:tcW w:type="dxa" w:w="1853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Análise da medição</w:t>
            </w:r>
          </w:p>
        </w:tc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XLSX</w:t>
            </w:r>
          </w:p>
        </w:tc>
        <w:tc>
          <w:tcPr>
            <w:tcW w:type="dxa" w:w="604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Papel de trabalho: os itens classificados por gravidade em cinco abas, para filtrar, ordenar e somar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2.3 O catálogo — o insumo que você não envia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Existe um terceiro insumo, o </w:t>
      </w:r>
      <w:r>
        <w:rPr>
          <w:b/>
          <w:i w:val="0"/>
          <w:color w:val="0B2235"/>
          <w:sz w:val="21"/>
        </w:rPr>
        <w:t>catálogo</w:t>
      </w:r>
      <w:r>
        <w:rPr>
          <w:b w:val="0"/>
          <w:i w:val="0"/>
          <w:color w:val="0B2235"/>
          <w:sz w:val="21"/>
        </w:rPr>
        <w:t>, e ele já vem embutido na aplicação. O catálogo carrega o que não está nem no contrato nem na planilha: a taxonomia de seções, a ordem das linhas e as decisões de apresentação — unidade exibida, formatação de cada número, quais itens aparecem.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Ele </w:t>
      </w:r>
      <w:r>
        <w:rPr>
          <w:b/>
          <w:i w:val="0"/>
          <w:color w:val="0B2235"/>
          <w:sz w:val="21"/>
        </w:rPr>
        <w:t>não participa da comparação</w:t>
      </w:r>
      <w:r>
        <w:rPr>
          <w:b w:val="0"/>
          <w:i w:val="0"/>
          <w:color w:val="0B2235"/>
          <w:sz w:val="21"/>
        </w:rPr>
        <w:t>. Quantidade contratada vem do contrato; medida vem da planilha. O catálogo governa apenas a forma. Ele existe porque a ordem do relatório não segue nem uma fonte nem a outra: são escolhas editoriais do documento modelo, conhecidas de antemão.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Por que isso importa para você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>O catálogo vale por contrato, não por competência. Uma vez conferido, ele serve a todos os meses seguintes daquele contrato — você segue enviando apenas dois arquivos. Um contrato com apresentação diferente da do piloto exige um catálogo próprio, e isso é tratado fora da tela do dia a dia.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2.4 Três garantias que mudam a forma de trabalhar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926"/>
        <w:gridCol w:w="6826"/>
      </w:tblGrid>
      <w:tr>
        <w:trPr>
          <w:tblHeader/>
          <w:cantSplit/>
        </w:trPr>
        <w:tc>
          <w:tcPr>
            <w:tcW w:type="dxa" w:w="292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Garantia</w:t>
            </w:r>
          </w:p>
        </w:tc>
        <w:tc>
          <w:tcPr>
            <w:tcW w:type="dxa" w:w="682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significa na prática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É determinístico</w:t>
            </w:r>
          </w:p>
        </w:tc>
        <w:tc>
          <w:tcPr>
            <w:tcW w:type="dxa" w:w="682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mesma entrada produz sempre o mesmo relatório. Duas execuções com os mesmos arquivos geram documentos idênticos, byte a byte — não há data de geração nem identificador aleatório no conteúdo. Você pode reprocessar sem medo de obter um resultado diferente.</w:t>
            </w:r>
          </w:p>
        </w:tc>
      </w:tr>
      <w:tr>
        <w:trPr>
          <w:cantSplit/>
        </w:trPr>
        <w:tc>
          <w:tcPr>
            <w:tcW w:type="dxa" w:w="29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Não usa inteligência artificial</w:t>
            </w:r>
          </w:p>
        </w:tc>
        <w:tc>
          <w:tcPr>
            <w:tcW w:type="dxa" w:w="68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As duas entradas são geradas por sistema e legíveis por máquina. O trabalho é correspondência exata por código de serviço — não há OCR, interpretação semântica nem julgamento. Nada é adivinhado.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Não guarda nada</w:t>
            </w:r>
          </w:p>
        </w:tc>
        <w:tc>
          <w:tcPr>
            <w:tcW w:type="dxa" w:w="682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serviço recebe, processa, devolve e esquece. Não há cadastro, login, histórico entre competências nem arquivo retido no servidor. Os documentos ficam na sua máquina, e só lá.</w:t>
            </w:r>
          </w:p>
        </w:tc>
      </w:tr>
    </w:tbl>
    <w:p>
      <w:pPr>
        <w:spacing w:after="0" w:before="0"/>
      </w:pPr>
      <w:r>
        <w:rPr>
          <w:sz w:val="10"/>
        </w:rPr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Nada é persistido, e isso é uma decisão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 xml:space="preserve">A planilha de levantamento original traz 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Usuários</w:t>
            </w:r>
            <w:r>
              <w:rPr>
                <w:b w:val="0"/>
                <w:i w:val="0"/>
                <w:color w:val="0B2235"/>
                <w:sz w:val="20"/>
              </w:rPr>
              <w:t xml:space="preserve"> com mais de mil registros nominais de servidores públicos. O serviço não guardar arquivo algum é uma das razões pelas quais essa aba nunca fica em lugar nenhum além da sua estação de trabalho. A contrapartida: se você fechar a aba do navegador antes de baixar, é preciso enviar os arquivos de novo.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3. Antes de começar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3.1 O que ter em mãos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731"/>
        <w:gridCol w:w="7021"/>
      </w:tblGrid>
      <w:tr>
        <w:trPr>
          <w:tblHeader/>
          <w:cantSplit/>
        </w:trPr>
        <w:tc>
          <w:tcPr>
            <w:tcW w:type="dxa" w:w="273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02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Detalhe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O contrato, em PDF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proposta comercial </w:t>
            </w:r>
            <w:r>
              <w:rPr>
                <w:b/>
                <w:i w:val="0"/>
                <w:color w:val="0B2235"/>
                <w:sz w:val="18"/>
              </w:rPr>
              <w:t>vigente e completa</w:t>
            </w:r>
            <w:r>
              <w:rPr>
                <w:b w:val="0"/>
                <w:i w:val="0"/>
                <w:color w:val="0B2235"/>
                <w:sz w:val="18"/>
              </w:rPr>
              <w:t>, com a tabela de itens e o total declarado ao fim dela. É desse arquivo que sai toda quantidade contratada.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O levantamento, em XLSX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planilha de medição da competência, com 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  <w:r>
              <w:rPr>
                <w:b w:val="0"/>
                <w:i w:val="0"/>
                <w:color w:val="0B2235"/>
                <w:sz w:val="18"/>
              </w:rPr>
              <w:t xml:space="preserve"> íntegra e as abas de detalhe que virarão anexos.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O endereço da aplicação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URL fornecida pela área responsável. Em uso local, a interface responde em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http://localhost:3000</w:t>
            </w:r>
            <w:r>
              <w:rPr>
                <w:b w:val="0"/>
                <w:i w:val="0"/>
                <w:color w:val="0B2235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Um navegador atual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Chrome, Edge ou Firefox em versão recente. Não há instalação, plugin nem extensão a configurar.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3.2 Um contrato por vez, uma competência por vez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Cada execução processa </w:t>
      </w:r>
      <w:r>
        <w:rPr>
          <w:b/>
          <w:i w:val="0"/>
          <w:color w:val="0B2235"/>
          <w:sz w:val="21"/>
        </w:rPr>
        <w:t>um</w:t>
      </w:r>
      <w:r>
        <w:rPr>
          <w:b w:val="0"/>
          <w:i w:val="0"/>
          <w:color w:val="0B2235"/>
          <w:sz w:val="21"/>
        </w:rPr>
        <w:t xml:space="preserve"> PDF de contrato e </w:t>
      </w:r>
      <w:r>
        <w:rPr>
          <w:b/>
          <w:i w:val="0"/>
          <w:color w:val="0B2235"/>
          <w:sz w:val="21"/>
        </w:rPr>
        <w:t>um</w:t>
      </w:r>
      <w:r>
        <w:rPr>
          <w:b w:val="0"/>
          <w:i w:val="0"/>
          <w:color w:val="0B2235"/>
          <w:sz w:val="21"/>
        </w:rPr>
        <w:t xml:space="preserve"> XLSX de levantamento. Consolidar o contrato original com vários aditivos está fora do escopo: envie o documento vigente, aquele que já incorpora os aditivos aplicáveis à competência.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 xml:space="preserve">Em uso local, use </w:t>
            </w:r>
            <w:r>
              <w:rPr>
                <w:rFonts w:ascii="Consolas" w:hAnsi="Consolas" w:cs="Consolas"/>
                <w:b/>
                <w:i w:val="0"/>
                <w:color w:val="FF671D"/>
                <w:sz w:val="19"/>
              </w:rPr>
              <w:t>localhost</w:t>
            </w:r>
            <w:r>
              <w:rPr>
                <w:b/>
                <w:i w:val="0"/>
                <w:color w:val="FF671D"/>
                <w:sz w:val="21"/>
              </w:rPr>
              <w:t xml:space="preserve"> e não </w:t>
            </w:r>
            <w:r>
              <w:rPr>
                <w:rFonts w:ascii="Consolas" w:hAnsi="Consolas" w:cs="Consolas"/>
                <w:b/>
                <w:i w:val="0"/>
                <w:color w:val="FF671D"/>
                <w:sz w:val="19"/>
              </w:rPr>
              <w:t>127.0.0.1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>Para o navegador são origens distintas. Abrir a aplicação pelo endereço errado faz a tela simplesmente não reagir ao clique — sem mensagem de erro, sem indicação nenhuma do motivo.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4. A tela do Confere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 aplicação tem </w:t>
      </w:r>
      <w:r>
        <w:rPr>
          <w:b/>
          <w:i w:val="0"/>
          <w:color w:val="0B2235"/>
          <w:sz w:val="21"/>
        </w:rPr>
        <w:t>uma única tela</w:t>
      </w:r>
      <w:r>
        <w:rPr>
          <w:b w:val="0"/>
          <w:i w:val="0"/>
          <w:color w:val="0B2235"/>
          <w:sz w:val="21"/>
        </w:rPr>
        <w:t>, que atravessa três estados: envio, processamento e resultado. Não há menu, cadastro nem navegação — o que muda é o que a tela mostra abaixo do formulário.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145"/>
        <w:gridCol w:w="1950"/>
        <w:gridCol w:w="5656"/>
      </w:tblGrid>
      <w:tr>
        <w:trPr>
          <w:tblHeader/>
          <w:cantSplit/>
        </w:trPr>
        <w:tc>
          <w:tcPr>
            <w:tcW w:type="dxa" w:w="2145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195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Onde fica</w:t>
            </w:r>
          </w:p>
        </w:tc>
        <w:tc>
          <w:tcPr>
            <w:tcW w:type="dxa" w:w="565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traz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Barra de aplicação</w:t>
            </w:r>
          </w:p>
        </w:tc>
        <w:tc>
          <w:tcPr>
            <w:tcW w:type="dxa" w:w="1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Topo, fixa na rolagem</w:t>
            </w:r>
          </w:p>
        </w:tc>
        <w:tc>
          <w:tcPr>
            <w:tcW w:type="dxa" w:w="565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marca Confere e a assinatura </w:t>
            </w:r>
            <w:r>
              <w:rPr>
                <w:b w:val="0"/>
                <w:i/>
                <w:color w:val="0B2235"/>
                <w:sz w:val="18"/>
              </w:rPr>
              <w:t>Confere o contratado. Confere o utilizado.</w:t>
            </w:r>
            <w:r>
              <w:rPr>
                <w:b w:val="0"/>
                <w:i w:val="0"/>
                <w:color w:val="0B2235"/>
                <w:sz w:val="18"/>
              </w:rPr>
              <w:t xml:space="preserve"> Depois da geração, aparece à direita a referência do contrato, a competência e o placar de divergências.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Formulário de envio</w:t>
            </w:r>
          </w:p>
        </w:tc>
        <w:tc>
          <w:tcPr>
            <w:tcW w:type="dxa" w:w="195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Centro, sempre visível</w:t>
            </w:r>
          </w:p>
        </w:tc>
        <w:tc>
          <w:tcPr>
            <w:tcW w:type="dxa" w:w="565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Os dois campos de arquivo e o botão </w:t>
            </w:r>
            <w:r>
              <w:rPr>
                <w:b/>
                <w:i w:val="0"/>
                <w:color w:val="0B2235"/>
                <w:sz w:val="18"/>
              </w:rPr>
              <w:t>Gerar relatório</w:t>
            </w:r>
            <w:r>
              <w:rPr>
                <w:b w:val="0"/>
                <w:i w:val="0"/>
                <w:color w:val="0B2235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Painel de resultado</w:t>
            </w:r>
          </w:p>
        </w:tc>
        <w:tc>
          <w:tcPr>
            <w:tcW w:type="dxa" w:w="1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Abaixo do formulário</w:t>
            </w:r>
          </w:p>
        </w:tc>
        <w:tc>
          <w:tcPr>
            <w:tcW w:type="dxa" w:w="565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Surge após o processamento: a faixa de resultado com os dois downloads, o painel </w:t>
            </w:r>
            <w:r>
              <w:rPr>
                <w:b/>
                <w:i w:val="0"/>
                <w:color w:val="0B2235"/>
                <w:sz w:val="18"/>
              </w:rPr>
              <w:t>Análise da medição</w:t>
            </w:r>
            <w:r>
              <w:rPr>
                <w:b w:val="0"/>
                <w:i w:val="0"/>
                <w:color w:val="0B2235"/>
                <w:sz w:val="18"/>
              </w:rPr>
              <w:t xml:space="preserve"> e o grid </w:t>
            </w:r>
            <w:r>
              <w:rPr>
                <w:b/>
                <w:i w:val="0"/>
                <w:color w:val="0B2235"/>
                <w:sz w:val="18"/>
              </w:rPr>
              <w:t>Divergências, na ordem do relatório</w:t>
            </w:r>
            <w:r>
              <w:rPr>
                <w:b w:val="0"/>
                <w:i w:val="0"/>
                <w:color w:val="0B2235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14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Rodapé institucional</w:t>
            </w:r>
          </w:p>
        </w:tc>
        <w:tc>
          <w:tcPr>
            <w:tcW w:type="dxa" w:w="195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Fim da página</w:t>
            </w:r>
          </w:p>
        </w:tc>
        <w:tc>
          <w:tcPr>
            <w:tcW w:type="dxa" w:w="565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Identificação da PRODAM, endereço e redes. Sem função operacional.</w:t>
            </w:r>
          </w:p>
        </w:tc>
      </w:tr>
    </w:tbl>
    <w:p>
      <w:pPr>
        <w:spacing w:after="0" w:before="0"/>
      </w:pPr>
      <w:r>
        <w:rPr>
          <w:sz w:val="10"/>
        </w:rPr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A marca Confere não entra no documento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 xml:space="preserve">O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.docx</w:t>
            </w:r>
            <w:r>
              <w:rPr>
                <w:b w:val="0"/>
                <w:i w:val="0"/>
                <w:color w:val="0B2235"/>
                <w:sz w:val="20"/>
              </w:rPr>
              <w:t xml:space="preserve"> carrega a identidade da PRODAM, que é quem assina o relatório. A marca do Confere identifica quem produziu, não o que foi produzido — e por isso vive apenas na tela.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5. Passo a passo — gerar o relatório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São seis passos, do envio ao arquivo na pasta de downloads. O caminho inteiro leva menos de um minuto na maior parte dele — quase todo o tempo é a geração, no passo 4.</w:t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1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Enviar o contrato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Clique no cartão </w:t>
      </w:r>
      <w:r>
        <w:rPr>
          <w:b/>
          <w:i w:val="0"/>
          <w:color w:val="0B2235"/>
          <w:sz w:val="21"/>
        </w:rPr>
        <w:t>Contrato</w:t>
      </w:r>
      <w:r>
        <w:rPr>
          <w:b w:val="0"/>
          <w:i w:val="0"/>
          <w:color w:val="0B2235"/>
          <w:sz w:val="21"/>
        </w:rPr>
        <w:t xml:space="preserve"> e escolha o PDF da proposta comercial. O seletor aceita apenas </w:t>
      </w:r>
      <w:r>
        <w:rPr>
          <w:rFonts w:ascii="Consolas" w:hAnsi="Consolas" w:cs="Consolas"/>
          <w:b w:val="0"/>
          <w:i w:val="0"/>
          <w:color w:val="0B2235"/>
          <w:sz w:val="19"/>
        </w:rPr>
        <w:t>.pdf</w:t>
      </w:r>
      <w:r>
        <w:rPr>
          <w:b w:val="0"/>
          <w:i w:val="0"/>
          <w:color w:val="0B2235"/>
          <w:sz w:val="21"/>
        </w:rPr>
        <w:t xml:space="preserve">. Ao escolher, o nome do arquivo aparece na faixa abaixo do rótulo, no lugar de </w:t>
      </w:r>
      <w:r>
        <w:rPr>
          <w:b w:val="0"/>
          <w:i/>
          <w:color w:val="0B2235"/>
          <w:sz w:val="21"/>
        </w:rPr>
        <w:t>escolher arquivo…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Não há área de arrastar e soltar. Arrastar um arquivo sobre o cartão não produz erro — simplesmente não faz nada. Use o clique.</w:t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2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Enviar o levantamento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Clique no cartão </w:t>
      </w:r>
      <w:r>
        <w:rPr>
          <w:b/>
          <w:i w:val="0"/>
          <w:color w:val="0B2235"/>
          <w:sz w:val="21"/>
        </w:rPr>
        <w:t>Levantamento</w:t>
      </w:r>
      <w:r>
        <w:rPr>
          <w:b w:val="0"/>
          <w:i w:val="0"/>
          <w:color w:val="0B2235"/>
          <w:sz w:val="21"/>
        </w:rPr>
        <w:t xml:space="preserve"> e escolha o XLSX da competência. O seletor aceita apenas </w:t>
      </w:r>
      <w:r>
        <w:rPr>
          <w:rFonts w:ascii="Consolas" w:hAnsi="Consolas" w:cs="Consolas"/>
          <w:b w:val="0"/>
          <w:i w:val="0"/>
          <w:color w:val="0B2235"/>
          <w:sz w:val="19"/>
        </w:rPr>
        <w:t>.xlsx</w:t>
      </w:r>
      <w:r>
        <w:rPr>
          <w:b w:val="0"/>
          <w:i w:val="0"/>
          <w:color w:val="0B2235"/>
          <w:sz w:val="21"/>
        </w:rPr>
        <w:t>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Enquanto faltar um dos dois arquivos, o botão fica inativo e a tela explica por quê: </w:t>
      </w:r>
      <w:r>
        <w:rPr>
          <w:b w:val="0"/>
          <w:i/>
          <w:color w:val="0B2235"/>
          <w:sz w:val="21"/>
        </w:rPr>
        <w:t>Os dois arquivos são necessários para gerar o relatório.</w:t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3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Clicar em Gerar relatório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Com os dois arquivos escolhidos, o botão </w:t>
      </w:r>
      <w:r>
        <w:rPr>
          <w:b/>
          <w:i w:val="0"/>
          <w:color w:val="0B2235"/>
          <w:sz w:val="21"/>
        </w:rPr>
        <w:t>Gerar relatório</w:t>
      </w:r>
      <w:r>
        <w:rPr>
          <w:b w:val="0"/>
          <w:i w:val="0"/>
          <w:color w:val="0B2235"/>
          <w:sz w:val="21"/>
        </w:rPr>
        <w:t xml:space="preserve"> fica ativo. Clique nele — ou pressione </w:t>
      </w:r>
      <w:r>
        <w:rPr>
          <w:b/>
          <w:i w:val="0"/>
          <w:color w:val="0B2235"/>
          <w:sz w:val="21"/>
        </w:rPr>
        <w:t>Enter</w:t>
      </w:r>
      <w:r>
        <w:rPr>
          <w:b w:val="0"/>
          <w:i w:val="0"/>
          <w:color w:val="0B2235"/>
          <w:sz w:val="21"/>
        </w:rPr>
        <w:t>, que tem o mesmo efeito.</w:t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4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Aguardar a geração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botão passa a exibir </w:t>
      </w:r>
      <w:r>
        <w:rPr>
          <w:b/>
          <w:i w:val="0"/>
          <w:color w:val="0B2235"/>
          <w:sz w:val="21"/>
        </w:rPr>
        <w:t>Processando…</w:t>
      </w:r>
      <w:r>
        <w:rPr>
          <w:b w:val="0"/>
          <w:i w:val="0"/>
          <w:color w:val="0B2235"/>
          <w:sz w:val="21"/>
        </w:rPr>
        <w:t xml:space="preserve"> com um indicador de atividade, e abaixo dele aparece: </w:t>
      </w:r>
      <w:r>
        <w:rPr>
          <w:b w:val="0"/>
          <w:i/>
          <w:color w:val="0B2235"/>
          <w:sz w:val="21"/>
        </w:rPr>
        <w:t>Extraindo o contrato, reconciliando e montando os anexos. Pode levar até um minuto.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340"/>
        <w:gridCol w:w="7412"/>
      </w:tblGrid>
      <w:tr>
        <w:trPr>
          <w:tblHeader/>
          <w:cantSplit/>
        </w:trPr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Tempo</w:t>
            </w:r>
          </w:p>
        </w:tc>
        <w:tc>
          <w:tcPr>
            <w:tcW w:type="dxa" w:w="7412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esperar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20 a 30 segundos</w:t>
            </w:r>
          </w:p>
        </w:tc>
        <w:tc>
          <w:tcPr>
            <w:tcW w:type="dxa" w:w="7412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duração usual, com arquivos do porte do piloto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Até um minuto</w:t>
            </w:r>
          </w:p>
        </w:tc>
        <w:tc>
          <w:tcPr>
            <w:tcW w:type="dxa" w:w="7412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que a tela anuncia. A maior parte do tempo é a emissão das cerca de 25 mil células dos 19 anexos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Três minutos</w:t>
            </w:r>
          </w:p>
        </w:tc>
        <w:tc>
          <w:tcPr>
            <w:tcW w:type="dxa" w:w="7412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teto. Passado esse tempo a aplicação interrompe a espera e explica o que houve, em vez de deixar o indicador girando indefinidamente</w:t>
            </w:r>
          </w:p>
        </w:tc>
      </w:tr>
    </w:tbl>
    <w:p>
      <w:pPr>
        <w:spacing w:after="0" w:before="0"/>
      </w:pPr>
      <w:r>
        <w:rPr>
          <w:sz w:val="10"/>
        </w:rPr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Não recarregue a página nem clique duas vezes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>Recarregar durante o processamento descarta o trabalho em curso e obriga a enviar os arquivos de novo — nada foi salvo no servidor. O botão já se protege de clique duplo enquanto processa.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5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Ler o resultado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Terminada a geração, o painel de resultado surge abaixo do formulário. O capítulo 6 detalha como lê-lo. Se houver achado bloqueante, </w:t>
      </w:r>
      <w:r>
        <w:rPr>
          <w:b/>
          <w:i w:val="0"/>
          <w:color w:val="0B2235"/>
          <w:sz w:val="21"/>
        </w:rPr>
        <w:t>nada é gerado</w:t>
      </w:r>
      <w:r>
        <w:rPr>
          <w:b w:val="0"/>
          <w:i w:val="0"/>
          <w:color w:val="0B2235"/>
          <w:sz w:val="21"/>
        </w:rPr>
        <w:t xml:space="preserve"> e no lugar do painel aparece a lista de bloqueios — veja o capítulo 8.</w:t>
      </w:r>
    </w:p>
    <w:p>
      <w:pPr>
        <w:keepNext/>
        <w:spacing w:before="240" w:after="80"/>
      </w:pPr>
      <w:r>
        <w:rPr>
          <w:b/>
          <w:color w:val="FFFFFF"/>
          <w:sz w:val="21"/>
          <w:shd w:val="clear" w:color="auto" w:fill="0E3E5E"/>
        </w:rPr>
        <w:t xml:space="preserve">  6  </w:t>
      </w:r>
      <w:r>
        <w:rPr>
          <w:sz w:val="21"/>
        </w:rPr>
        <w:t xml:space="preserve">  </w:t>
      </w:r>
      <w:r>
        <w:rPr>
          <w:b/>
          <w:color w:val="0E3E5E"/>
          <w:sz w:val="24"/>
        </w:rPr>
        <w:t>Baixar os arquivos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Na faixa </w:t>
      </w:r>
      <w:r>
        <w:rPr>
          <w:b/>
          <w:i w:val="0"/>
          <w:color w:val="0B2235"/>
          <w:sz w:val="21"/>
        </w:rPr>
        <w:t>Relatório gerado</w:t>
      </w:r>
      <w:r>
        <w:rPr>
          <w:b w:val="0"/>
          <w:i w:val="0"/>
          <w:color w:val="0B2235"/>
          <w:sz w:val="21"/>
        </w:rPr>
        <w:t xml:space="preserve"> há dois botões. </w:t>
      </w:r>
      <w:r>
        <w:rPr>
          <w:b/>
          <w:i w:val="0"/>
          <w:color w:val="0B2235"/>
          <w:sz w:val="21"/>
        </w:rPr>
        <w:t>Baixar DOCX</w:t>
      </w:r>
      <w:r>
        <w:rPr>
          <w:b w:val="0"/>
          <w:i w:val="0"/>
          <w:color w:val="0B2235"/>
          <w:sz w:val="21"/>
        </w:rPr>
        <w:t xml:space="preserve"> traz o entregável formal; </w:t>
      </w:r>
      <w:r>
        <w:rPr>
          <w:b/>
          <w:i w:val="0"/>
          <w:color w:val="0B2235"/>
          <w:sz w:val="21"/>
        </w:rPr>
        <w:t>Baixar análise (XLSX)</w:t>
      </w:r>
      <w:r>
        <w:rPr>
          <w:b w:val="0"/>
          <w:i w:val="0"/>
          <w:color w:val="0B2235"/>
          <w:sz w:val="21"/>
        </w:rPr>
        <w:t xml:space="preserve"> traz o papel de trabalho. A hierarquia visual — um sólido, um contornado — diz qual é qual.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Baixe os dois antes de sair da página. Nada fica guardado: fechar a aba obriga a repetir o processo desde o passo 1.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5.1 Resumo dos seis passos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585"/>
        <w:gridCol w:w="3316"/>
        <w:gridCol w:w="5851"/>
      </w:tblGrid>
      <w:tr>
        <w:trPr>
          <w:tblHeader/>
          <w:cantSplit/>
        </w:trPr>
        <w:tc>
          <w:tcPr>
            <w:tcW w:type="dxa" w:w="585"/>
            <w:shd w:val="clear" w:color="auto" w:fill="0E3E5E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33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585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Resultado esperado na tela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</w:t>
            </w:r>
          </w:p>
        </w:tc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Escolher o PDF do contrato</w:t>
            </w:r>
          </w:p>
        </w:tc>
        <w:tc>
          <w:tcPr>
            <w:tcW w:type="dxa" w:w="585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 nome do arquivo aparece no cartão </w:t>
            </w:r>
            <w:r>
              <w:rPr>
                <w:b/>
                <w:i w:val="0"/>
                <w:color w:val="0B2235"/>
                <w:sz w:val="18"/>
              </w:rPr>
              <w:t>Contrato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2</w:t>
            </w:r>
          </w:p>
        </w:tc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Escolher o XLSX do levantamento</w:t>
            </w:r>
          </w:p>
        </w:tc>
        <w:tc>
          <w:tcPr>
            <w:tcW w:type="dxa" w:w="585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 nome do arquivo aparece no cartão </w:t>
            </w:r>
            <w:r>
              <w:rPr>
                <w:b/>
                <w:i w:val="0"/>
                <w:color w:val="0B2235"/>
                <w:sz w:val="18"/>
              </w:rPr>
              <w:t>Levantamento</w:t>
            </w:r>
            <w:r>
              <w:rPr>
                <w:b w:val="0"/>
                <w:i w:val="0"/>
                <w:color w:val="0B2235"/>
                <w:sz w:val="18"/>
              </w:rPr>
              <w:t>; o botão fica ativo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3</w:t>
            </w:r>
          </w:p>
        </w:tc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Clicar em </w:t>
            </w:r>
            <w:r>
              <w:rPr>
                <w:b/>
                <w:i w:val="0"/>
                <w:color w:val="0B2235"/>
                <w:sz w:val="18"/>
              </w:rPr>
              <w:t>Gerar relatório</w:t>
            </w:r>
          </w:p>
        </w:tc>
        <w:tc>
          <w:tcPr>
            <w:tcW w:type="dxa" w:w="585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 botão passa a </w:t>
            </w:r>
            <w:r>
              <w:rPr>
                <w:b/>
                <w:i w:val="0"/>
                <w:color w:val="0B2235"/>
                <w:sz w:val="18"/>
              </w:rPr>
              <w:t>Processando…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4</w:t>
            </w:r>
          </w:p>
        </w:tc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Aguardar</w:t>
            </w:r>
          </w:p>
        </w:tc>
        <w:tc>
          <w:tcPr>
            <w:tcW w:type="dxa" w:w="585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indicador gira por 20 a 30 segundos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5</w:t>
            </w:r>
          </w:p>
        </w:tc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Ler o painel de resultado</w:t>
            </w:r>
          </w:p>
        </w:tc>
        <w:tc>
          <w:tcPr>
            <w:tcW w:type="dxa" w:w="585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Faixa </w:t>
            </w:r>
            <w:r>
              <w:rPr>
                <w:b/>
                <w:i w:val="0"/>
                <w:color w:val="0B2235"/>
                <w:sz w:val="18"/>
              </w:rPr>
              <w:t>Relatório gerado</w:t>
            </w:r>
            <w:r>
              <w:rPr>
                <w:b w:val="0"/>
                <w:i w:val="0"/>
                <w:color w:val="0B2235"/>
                <w:sz w:val="18"/>
              </w:rPr>
              <w:t>, painel de análise e grid de divergências</w:t>
            </w:r>
          </w:p>
        </w:tc>
      </w:tr>
      <w:tr>
        <w:trPr>
          <w:cantSplit/>
        </w:trPr>
        <w:tc>
          <w:tcPr>
            <w:tcW w:type="dxa" w:w="585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6</w:t>
            </w:r>
          </w:p>
        </w:tc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Baixar os dois arquivos</w:t>
            </w:r>
          </w:p>
        </w:tc>
        <w:tc>
          <w:tcPr>
            <w:tcW w:type="dxa" w:w="585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.docx</w:t>
            </w:r>
            <w:r>
              <w:rPr>
                <w:b w:val="0"/>
                <w:i w:val="0"/>
                <w:color w:val="0B2235"/>
                <w:sz w:val="18"/>
              </w:rPr>
              <w:t xml:space="preserve"> e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.xlsx</w:t>
            </w:r>
            <w:r>
              <w:rPr>
                <w:b w:val="0"/>
                <w:i w:val="0"/>
                <w:color w:val="0B2235"/>
                <w:sz w:val="18"/>
              </w:rPr>
              <w:t xml:space="preserve"> na pasta de downloads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6. Ler o resultado na tela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painel de resultado responde a duas perguntas diferentes sobre os mesmos dados. O painel </w:t>
      </w:r>
      <w:r>
        <w:rPr>
          <w:b/>
          <w:i w:val="0"/>
          <w:color w:val="0B2235"/>
          <w:sz w:val="21"/>
        </w:rPr>
        <w:t>Análise da medição</w:t>
      </w:r>
      <w:r>
        <w:rPr>
          <w:b w:val="0"/>
          <w:i w:val="0"/>
          <w:color w:val="0B2235"/>
          <w:sz w:val="21"/>
        </w:rPr>
        <w:t xml:space="preserve"> responde </w:t>
      </w:r>
      <w:r>
        <w:rPr>
          <w:b w:val="0"/>
          <w:i/>
          <w:color w:val="0B2235"/>
          <w:sz w:val="21"/>
        </w:rPr>
        <w:t>quão grave</w:t>
      </w:r>
      <w:r>
        <w:rPr>
          <w:b w:val="0"/>
          <w:i w:val="0"/>
          <w:color w:val="0B2235"/>
          <w:sz w:val="21"/>
        </w:rPr>
        <w:t xml:space="preserve">; o grid </w:t>
      </w:r>
      <w:r>
        <w:rPr>
          <w:b/>
          <w:i w:val="0"/>
          <w:color w:val="0B2235"/>
          <w:sz w:val="21"/>
        </w:rPr>
        <w:t>Divergências, na ordem do relatório</w:t>
      </w:r>
      <w:r>
        <w:rPr>
          <w:b w:val="0"/>
          <w:i w:val="0"/>
          <w:color w:val="0B2235"/>
          <w:sz w:val="21"/>
        </w:rPr>
        <w:t xml:space="preserve"> responde </w:t>
      </w:r>
      <w:r>
        <w:rPr>
          <w:b w:val="0"/>
          <w:i/>
          <w:color w:val="0B2235"/>
          <w:sz w:val="21"/>
        </w:rPr>
        <w:t>onde no relatório</w:t>
      </w:r>
      <w:r>
        <w:rPr>
          <w:b w:val="0"/>
          <w:i w:val="0"/>
          <w:color w:val="0B2235"/>
          <w:sz w:val="21"/>
        </w:rPr>
        <w:t>. Os dois convivem de propósito, e nessa ordem: quem confere pergunta o que é grave antes de perguntar onde está.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6.1 A faixa de resultado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É o primeiro bloco, com o título </w:t>
      </w:r>
      <w:r>
        <w:rPr>
          <w:b/>
          <w:i w:val="0"/>
          <w:color w:val="0B2235"/>
          <w:sz w:val="21"/>
        </w:rPr>
        <w:t>Relatório gerado</w:t>
      </w:r>
      <w:r>
        <w:rPr>
          <w:b w:val="0"/>
          <w:i w:val="0"/>
          <w:color w:val="0B2235"/>
          <w:sz w:val="21"/>
        </w:rPr>
        <w:t xml:space="preserve">. Abaixo dele, uma frase com o placar — por exemplo, </w:t>
      </w:r>
      <w:r>
        <w:rPr>
          <w:b w:val="0"/>
          <w:i/>
          <w:color w:val="0B2235"/>
          <w:sz w:val="21"/>
        </w:rPr>
        <w:t>36 de 55 itens com divergência entre contratado e medido</w:t>
      </w:r>
      <w:r>
        <w:rPr>
          <w:b w:val="0"/>
          <w:i w:val="0"/>
          <w:color w:val="0B2235"/>
          <w:sz w:val="21"/>
        </w:rPr>
        <w:t xml:space="preserve"> — e, quando houver, a contagem de avisos registrados. À direita, os dois botões de download.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A mesma informação sobe para a barra do topo, que fica visível durante toda a rolagem: a referência do contrato, a competência e o placar.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6.2 Análise da medição — as quatro situações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Acima do grid, o painel </w:t>
      </w:r>
      <w:r>
        <w:rPr>
          <w:b/>
          <w:i w:val="0"/>
          <w:color w:val="0B2235"/>
          <w:sz w:val="21"/>
        </w:rPr>
        <w:t>Análise da medição</w:t>
      </w:r>
      <w:r>
        <w:rPr>
          <w:b w:val="0"/>
          <w:i w:val="0"/>
          <w:color w:val="0B2235"/>
          <w:sz w:val="21"/>
        </w:rPr>
        <w:t xml:space="preserve"> identifica o contrato, a proposta e a competência, informa o total de itens analisados e apresenta quatro blocos recolhíveis, </w:t>
      </w:r>
      <w:r>
        <w:rPr>
          <w:b/>
          <w:i w:val="0"/>
          <w:color w:val="0B2235"/>
          <w:sz w:val="21"/>
        </w:rPr>
        <w:t>na ordem de gravidade</w:t>
      </w:r>
      <w:r>
        <w:rPr>
          <w:b w:val="0"/>
          <w:i w:val="0"/>
          <w:color w:val="0B2235"/>
          <w:sz w:val="21"/>
        </w:rPr>
        <w:t>. Todo item analisado cai em exatamente um deles: as quatro situações são exclusivas e exaustivas, e a soma delas é o total.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340"/>
        <w:gridCol w:w="2340"/>
        <w:gridCol w:w="5071"/>
      </w:tblGrid>
      <w:tr>
        <w:trPr>
          <w:tblHeader/>
          <w:cantSplit/>
        </w:trPr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Critério</w:t>
            </w:r>
          </w:p>
        </w:tc>
        <w:tc>
          <w:tcPr>
            <w:tcW w:type="dxa" w:w="507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significa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Item crítico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medido acima do contratado</w:t>
            </w:r>
          </w:p>
        </w:tc>
        <w:tc>
          <w:tcPr>
            <w:tcW w:type="dxa" w:w="507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Consumo sem cobertura contratual. O dinheiro já foi gasto — é o achado de maior consequência e o primeiro a tratar.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Divergente de maior relevância</w:t>
            </w:r>
          </w:p>
        </w:tc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contratado sem medição no período</w:t>
            </w:r>
          </w:p>
        </w:tc>
        <w:tc>
          <w:tcPr>
            <w:tcW w:type="dxa" w:w="507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Há previsão contratual e nenhuma medição no mês: serviço não entregue </w:t>
            </w:r>
            <w:r>
              <w:rPr>
                <w:b/>
                <w:i w:val="0"/>
                <w:color w:val="0B2235"/>
                <w:sz w:val="18"/>
              </w:rPr>
              <w:t>ou</w:t>
            </w:r>
            <w:r>
              <w:rPr>
                <w:b w:val="0"/>
                <w:i w:val="0"/>
                <w:color w:val="0B2235"/>
                <w:sz w:val="18"/>
              </w:rPr>
              <w:t xml:space="preserve"> não demandado. Nem o contrato nem a planilha dizem qual dos dois — a distinção é da área de negócio.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Divergente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medido abaixo do contratado</w:t>
            </w:r>
          </w:p>
        </w:tc>
        <w:tc>
          <w:tcPr>
            <w:tcW w:type="dxa" w:w="507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Entrega parcial, com saldo a acompanhar.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Sem divergência</w:t>
            </w:r>
          </w:p>
        </w:tc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medido igual ao contratado</w:t>
            </w:r>
          </w:p>
        </w:tc>
        <w:tc>
          <w:tcPr>
            <w:tcW w:type="dxa" w:w="507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Conformidade — com a ressalva de itens de perfil e pacote, na seção 6.4.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Cada bloco traz à direita a contagem — </w:t>
      </w:r>
      <w:r>
        <w:rPr>
          <w:b w:val="0"/>
          <w:i/>
          <w:color w:val="0B2235"/>
          <w:sz w:val="21"/>
        </w:rPr>
        <w:t>1 item</w:t>
      </w:r>
      <w:r>
        <w:rPr>
          <w:b w:val="0"/>
          <w:i w:val="0"/>
          <w:color w:val="0B2235"/>
          <w:sz w:val="21"/>
        </w:rPr>
        <w:t xml:space="preserve">, </w:t>
      </w:r>
      <w:r>
        <w:rPr>
          <w:b w:val="0"/>
          <w:i/>
          <w:color w:val="0B2235"/>
          <w:sz w:val="21"/>
        </w:rPr>
        <w:t>20 itens</w:t>
      </w:r>
      <w:r>
        <w:rPr>
          <w:b w:val="0"/>
          <w:i w:val="0"/>
          <w:color w:val="0B2235"/>
          <w:sz w:val="21"/>
        </w:rPr>
        <w:t xml:space="preserve"> — e </w:t>
      </w:r>
      <w:r>
        <w:rPr>
          <w:b/>
          <w:i w:val="0"/>
          <w:color w:val="0B2235"/>
          <w:sz w:val="21"/>
        </w:rPr>
        <w:t>nasce recolhido</w:t>
      </w:r>
      <w:r>
        <w:rPr>
          <w:b w:val="0"/>
          <w:i w:val="0"/>
          <w:color w:val="0B2235"/>
          <w:sz w:val="21"/>
        </w:rPr>
        <w:t xml:space="preserve">. A contagem é o achado: </w:t>
      </w:r>
      <w:r>
        <w:rPr>
          <w:rFonts w:ascii="Consolas" w:hAnsi="Consolas" w:cs="Consolas"/>
          <w:b w:val="0"/>
          <w:i w:val="0"/>
          <w:color w:val="0B2235"/>
          <w:sz w:val="19"/>
        </w:rPr>
        <w:t>0 itens</w:t>
      </w:r>
      <w:r>
        <w:rPr>
          <w:b w:val="0"/>
          <w:i w:val="0"/>
          <w:color w:val="0B2235"/>
          <w:sz w:val="21"/>
        </w:rPr>
        <w:t xml:space="preserve"> em </w:t>
      </w:r>
      <w:r>
        <w:rPr>
          <w:b/>
          <w:i w:val="0"/>
          <w:color w:val="0B2235"/>
          <w:sz w:val="21"/>
        </w:rPr>
        <w:t>Item crítico</w:t>
      </w:r>
      <w:r>
        <w:rPr>
          <w:b w:val="0"/>
          <w:i w:val="0"/>
          <w:color w:val="0B2235"/>
          <w:sz w:val="21"/>
        </w:rPr>
        <w:t xml:space="preserve"> já é o resultado que quem confere mais quer ler, e não exige abrir nada. Clique no bloco para ver as linhas.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Situação sem nenhum item aparece assim mesmo, com a contagem zerada e a frase </w:t>
      </w:r>
      <w:r>
        <w:rPr>
          <w:b w:val="0"/>
          <w:i/>
          <w:color w:val="0B2235"/>
          <w:sz w:val="21"/>
        </w:rPr>
        <w:t>Nenhum item nesta situação.</w:t>
      </w:r>
      <w:r>
        <w:rPr>
          <w:b w:val="0"/>
          <w:i w:val="0"/>
          <w:color w:val="0B2235"/>
          <w:sz w:val="21"/>
        </w:rPr>
        <w:t xml:space="preserve"> dentro. Nenhuma das quatro é omitida: distinguir </w:t>
      </w:r>
      <w:r>
        <w:rPr>
          <w:b w:val="0"/>
          <w:i/>
          <w:color w:val="0B2235"/>
          <w:sz w:val="21"/>
        </w:rPr>
        <w:t>não havia itens</w:t>
      </w:r>
      <w:r>
        <w:rPr>
          <w:b w:val="0"/>
          <w:i w:val="0"/>
          <w:color w:val="0B2235"/>
          <w:sz w:val="21"/>
        </w:rPr>
        <w:t xml:space="preserve"> de </w:t>
      </w:r>
      <w:r>
        <w:rPr>
          <w:b w:val="0"/>
          <w:i/>
          <w:color w:val="0B2235"/>
          <w:sz w:val="21"/>
        </w:rPr>
        <w:t>o sistema não gerou o bloco</w:t>
      </w:r>
      <w:r>
        <w:rPr>
          <w:b w:val="0"/>
          <w:i w:val="0"/>
          <w:color w:val="0B2235"/>
          <w:sz w:val="21"/>
        </w:rPr>
        <w:t xml:space="preserve"> custaria caro numa conferência.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6.3 Divergências, na ordem do relatório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grid reproduz a estrutura do documento — mesma ordem, mesmos grupos e seções, mesmos rótulos — e traz </w:t>
      </w:r>
      <w:r>
        <w:rPr>
          <w:b/>
          <w:i w:val="0"/>
          <w:color w:val="0B2235"/>
          <w:sz w:val="21"/>
        </w:rPr>
        <w:t>somente os itens em que a quantidade contratada difere da medida</w:t>
      </w:r>
      <w:r>
        <w:rPr>
          <w:b w:val="0"/>
          <w:i w:val="0"/>
          <w:color w:val="0B2235"/>
          <w:sz w:val="21"/>
        </w:rPr>
        <w:t>. É o que permite conferir cada linha contra a mesma linha do relatório.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731"/>
        <w:gridCol w:w="7021"/>
      </w:tblGrid>
      <w:tr>
        <w:trPr>
          <w:tblHeader/>
          <w:cantSplit/>
        </w:trPr>
        <w:tc>
          <w:tcPr>
            <w:tcW w:type="dxa" w:w="273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Coluna</w:t>
            </w:r>
          </w:p>
        </w:tc>
        <w:tc>
          <w:tcPr>
            <w:tcW w:type="dxa" w:w="702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Origem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Código · Descrição · Unidade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Idênticas às do relatório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Quantidade Contratada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Do contrato, com a mesma formatação do documento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Quantidade Medida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Da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Saldo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contratada − medida</w:t>
            </w:r>
            <w:r>
              <w:rPr>
                <w:b w:val="0"/>
                <w:i w:val="0"/>
                <w:color w:val="0B2235"/>
                <w:sz w:val="18"/>
              </w:rPr>
              <w:t>. É a coluna que o documento não tem: a subtração que o analista faria de cabeça em cada linha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Não havendo divergência nenhuma, o grid não aparece vazio: a tela diz, por escrito, que a quantidade medida é igual à contratada em todas as linhas.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6.4 As três marcas, e por que nenhuma delas é decorativa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Nenhuma informação do Confere depende só de cor. Cada marca carrega texto, e cada uma altera a leitura de um número.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1950"/>
        <w:gridCol w:w="2340"/>
        <w:gridCol w:w="5461"/>
      </w:tblGrid>
      <w:tr>
        <w:trPr>
          <w:tblHeader/>
          <w:cantSplit/>
        </w:trPr>
        <w:tc>
          <w:tcPr>
            <w:tcW w:type="dxa" w:w="195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Marca</w:t>
            </w:r>
          </w:p>
        </w:tc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Onde aparece</w:t>
            </w:r>
          </w:p>
        </w:tc>
        <w:tc>
          <w:tcPr>
            <w:tcW w:type="dxa" w:w="546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muda na sua leitura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perfil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Ao lado da descrição, em âmbar</w:t>
            </w:r>
          </w:p>
        </w:tc>
        <w:tc>
          <w:tcPr>
            <w:tcW w:type="dxa" w:w="546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Itens de perfil e pacote contam por unidade contratual e entram sempre como 1 contratado e 1 medido. </w:t>
            </w:r>
            <w:r>
              <w:rPr>
                <w:b/>
                <w:i w:val="0"/>
                <w:color w:val="0B2235"/>
                <w:sz w:val="18"/>
              </w:rPr>
              <w:t>A diferença de perfil não aparece nas quantidades</w:t>
            </w:r>
            <w:r>
              <w:rPr>
                <w:b w:val="0"/>
                <w:i w:val="0"/>
                <w:color w:val="0B2235"/>
                <w:sz w:val="18"/>
              </w:rPr>
              <w:t>: um item contratado no perfil D e medido no perfil C sai como se não houvesse diferença nenhuma. Igualdade aqui não é conferência bem-sucedida.</w:t>
            </w:r>
          </w:p>
        </w:tc>
      </w:tr>
      <w:tr>
        <w:trPr>
          <w:cantSplit/>
        </w:trPr>
        <w:tc>
          <w:tcPr>
            <w:tcW w:type="dxa" w:w="195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Saldo negativo</w:t>
            </w:r>
          </w:p>
        </w:tc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Na coluna Saldo, em vermelho</w:t>
            </w:r>
          </w:p>
        </w:tc>
        <w:tc>
          <w:tcPr>
            <w:tcW w:type="dxa" w:w="546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Medido acima do contratado. É consumo sem cobertura, e é o achado de maior consequência do grid.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sem previsão contratual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Ao lado da descrição, dentro de </w:t>
            </w:r>
            <w:r>
              <w:rPr>
                <w:b/>
                <w:i w:val="0"/>
                <w:color w:val="0B2235"/>
                <w:sz w:val="18"/>
              </w:rPr>
              <w:t>Item crítico</w:t>
            </w:r>
          </w:p>
        </w:tc>
        <w:tc>
          <w:tcPr>
            <w:tcW w:type="dxa" w:w="546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Item medido que </w:t>
            </w:r>
            <w:r>
              <w:rPr>
                <w:b/>
                <w:i w:val="0"/>
                <w:color w:val="0B2235"/>
                <w:sz w:val="18"/>
              </w:rPr>
              <w:t>não consta da tabela de itens do contrato</w:t>
            </w:r>
            <w:r>
              <w:rPr>
                <w:b w:val="0"/>
                <w:i w:val="0"/>
                <w:color w:val="0B2235"/>
                <w:sz w:val="18"/>
              </w:rPr>
              <w:t>. Ele não entra no documento formal — o modelo o omite por construção — e por isso a tela é o único lugar onde ele aparece.</w:t>
            </w:r>
          </w:p>
        </w:tc>
      </w:tr>
    </w:tbl>
    <w:p>
      <w:pPr>
        <w:spacing w:after="0" w:before="0"/>
      </w:pPr>
      <w:r>
        <w:rPr>
          <w:sz w:val="10"/>
        </w:rPr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A ressalva que impede o relatório de afirmar mais do que sabe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 xml:space="preserve">Quando o bloco </w:t>
            </w:r>
            <w:r>
              <w:rPr>
                <w:b/>
                <w:i w:val="0"/>
                <w:color w:val="0B2235"/>
                <w:sz w:val="20"/>
              </w:rPr>
              <w:t>Sem divergência</w:t>
            </w:r>
            <w:r>
              <w:rPr>
                <w:b w:val="0"/>
                <w:i w:val="0"/>
                <w:color w:val="0B2235"/>
                <w:sz w:val="20"/>
              </w:rPr>
              <w:t xml:space="preserve"> contém itens de perfil ou pacote, ele informa quantos são, em texto. No piloto são 5 de 19 — mais de um quarto da categoria. Um relatório que afirmasse conformidade sem ressalvar isso afirmaria mais do que verificou. A mesma ressalva viaja dentro do XLSX de análise, na coluna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Perfil ou pacote</w:t>
            </w:r>
            <w:r>
              <w:rPr>
                <w:b w:val="0"/>
                <w:i w:val="0"/>
                <w:color w:val="0B2235"/>
                <w:sz w:val="20"/>
              </w:rPr>
              <w:t>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7. Os arquivos gerados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7.1 O relatório de comprovação — DOCX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É o entregável formal. Sai sobre o modelo institucional da PRODAM, com as fontes, o papel timbrado e o rodapé do modelo, em três blocos: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340"/>
        <w:gridCol w:w="1170"/>
        <w:gridCol w:w="6241"/>
      </w:tblGrid>
      <w:tr>
        <w:trPr>
          <w:tblHeader/>
          <w:cantSplit/>
        </w:trPr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1170"/>
            <w:shd w:val="clear" w:color="auto" w:fill="0E3E5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Páginas</w:t>
            </w:r>
          </w:p>
        </w:tc>
        <w:tc>
          <w:tcPr>
            <w:tcW w:type="dxa" w:w="624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Capa</w:t>
            </w:r>
          </w:p>
        </w:tc>
        <w:tc>
          <w:tcPr>
            <w:tcW w:type="dxa" w:w="117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1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capa do modelo institucional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Tabela de comprovação</w:t>
            </w:r>
          </w:p>
        </w:tc>
        <w:tc>
          <w:tcPr>
            <w:tcW w:type="dxa" w:w="1170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2 e 3</w:t>
            </w:r>
          </w:p>
        </w:tc>
        <w:tc>
          <w:tcPr>
            <w:tcW w:type="dxa" w:w="624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22 seções e 55 linhas, em paisagem: Código, Descrição, Unidade, Quantidade Contratada e Quantidade Medida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Anexos de detalhamento</w:t>
            </w:r>
          </w:p>
        </w:tc>
        <w:tc>
          <w:tcPr>
            <w:tcW w:type="dxa" w:w="117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4 a 41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19 anexos, um por aba da planilha, reproduzindo a apresentação do documento de referência: orientação de página, largura de coluna, altura de linha e figuras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Os anexos existem para que conferir uma quantidade não exija voltar à planilha de 22 abas: eles mostram </w:t>
      </w:r>
      <w:r>
        <w:rPr>
          <w:b/>
          <w:i w:val="0"/>
          <w:color w:val="0B2235"/>
          <w:sz w:val="21"/>
        </w:rPr>
        <w:t>de onde cada número medido veio</w:t>
      </w:r>
      <w:r>
        <w:rPr>
          <w:b w:val="0"/>
          <w:i w:val="0"/>
          <w:color w:val="0B2235"/>
          <w:sz w:val="21"/>
        </w:rPr>
        <w:t>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arquivo é </w:t>
      </w:r>
      <w:r>
        <w:rPr>
          <w:b/>
          <w:i w:val="0"/>
          <w:color w:val="0B2235"/>
          <w:sz w:val="21"/>
        </w:rPr>
        <w:t>editável de propósito</w:t>
      </w:r>
      <w:r>
        <w:rPr>
          <w:b w:val="0"/>
          <w:i w:val="0"/>
          <w:color w:val="0B2235"/>
          <w:sz w:val="21"/>
        </w:rPr>
        <w:t>. Documento que instrui faturamento passa por revisão, e revisar exige poder ajustar.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A capa é conteúdo fixo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 xml:space="preserve">Ela reproduz exatamente a capa do modelo institucional, com a referência do contrato e da proposta do piloto gravadas. </w:t>
            </w:r>
            <w:r>
              <w:rPr>
                <w:b/>
                <w:i w:val="0"/>
                <w:color w:val="0B2235"/>
                <w:sz w:val="20"/>
              </w:rPr>
              <w:t>Para outro contrato, a capa sairá errada</w:t>
            </w:r>
            <w:r>
              <w:rPr>
                <w:b w:val="0"/>
                <w:i w:val="0"/>
                <w:color w:val="0B2235"/>
                <w:sz w:val="20"/>
              </w:rPr>
              <w:t xml:space="preserve"> e precisa ser corrigida à mão antes de encaminhar. É o primeiro item da conferência do capítulo 9.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7.2 A análise da medição — XLSX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É papel de trabalho, não peça formal. Traz os mesmos itens da tela, organizados para filtrar, ordenar e somar. São cinco abas: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926"/>
        <w:gridCol w:w="6826"/>
      </w:tblGrid>
      <w:tr>
        <w:trPr>
          <w:tblHeader/>
          <w:cantSplit/>
        </w:trPr>
        <w:tc>
          <w:tcPr>
            <w:tcW w:type="dxa" w:w="292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Aba</w:t>
            </w:r>
          </w:p>
        </w:tc>
        <w:tc>
          <w:tcPr>
            <w:tcW w:type="dxa" w:w="682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Resumo Executivo</w:t>
            </w:r>
          </w:p>
        </w:tc>
        <w:tc>
          <w:tcPr>
            <w:tcW w:type="dxa" w:w="682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Contrato, proposta e competência; a contagem de cada uma das quatro situações com o respectivo critério; e o total de itens analisados</w:t>
            </w:r>
          </w:p>
        </w:tc>
      </w:tr>
      <w:tr>
        <w:trPr>
          <w:cantSplit/>
        </w:trPr>
        <w:tc>
          <w:tcPr>
            <w:tcW w:type="dxa" w:w="29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Itens Críticos</w:t>
            </w:r>
          </w:p>
        </w:tc>
        <w:tc>
          <w:tcPr>
            <w:tcW w:type="dxa" w:w="68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itens medidos acima do contratado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Divergências Maior Relevância</w:t>
            </w:r>
          </w:p>
        </w:tc>
        <w:tc>
          <w:tcPr>
            <w:tcW w:type="dxa" w:w="682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itens contratados sem medição no período</w:t>
            </w:r>
          </w:p>
        </w:tc>
      </w:tr>
      <w:tr>
        <w:trPr>
          <w:cantSplit/>
        </w:trPr>
        <w:tc>
          <w:tcPr>
            <w:tcW w:type="dxa" w:w="29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Divergências</w:t>
            </w:r>
          </w:p>
        </w:tc>
        <w:tc>
          <w:tcPr>
            <w:tcW w:type="dxa" w:w="682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itens medidos abaixo do contratado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Sem Divergência</w:t>
            </w:r>
          </w:p>
        </w:tc>
        <w:tc>
          <w:tcPr>
            <w:tcW w:type="dxa" w:w="682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Os itens em que medido e contratado coincidem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As quatro abas de situação saem </w:t>
      </w:r>
      <w:r>
        <w:rPr>
          <w:b/>
          <w:i w:val="0"/>
          <w:color w:val="0B2235"/>
          <w:sz w:val="21"/>
        </w:rPr>
        <w:t>sempre</w:t>
      </w:r>
      <w:r>
        <w:rPr>
          <w:b w:val="0"/>
          <w:i w:val="0"/>
          <w:color w:val="0B2235"/>
          <w:sz w:val="21"/>
        </w:rPr>
        <w:t xml:space="preserve">, inclusive vazias. As colunas são </w:t>
      </w:r>
      <w:r>
        <w:rPr>
          <w:rFonts w:ascii="Consolas" w:hAnsi="Consolas" w:cs="Consolas"/>
          <w:b w:val="0"/>
          <w:i w:val="0"/>
          <w:color w:val="0B2235"/>
          <w:sz w:val="19"/>
        </w:rPr>
        <w:t>Código</w:t>
      </w:r>
      <w:r>
        <w:rPr>
          <w:b w:val="0"/>
          <w:i w:val="0"/>
          <w:color w:val="0B2235"/>
          <w:sz w:val="21"/>
        </w:rPr>
        <w:t xml:space="preserve">, </w:t>
      </w:r>
      <w:r>
        <w:rPr>
          <w:rFonts w:ascii="Consolas" w:hAnsi="Consolas" w:cs="Consolas"/>
          <w:b w:val="0"/>
          <w:i w:val="0"/>
          <w:color w:val="0B2235"/>
          <w:sz w:val="19"/>
        </w:rPr>
        <w:t>Descrição</w:t>
      </w:r>
      <w:r>
        <w:rPr>
          <w:b w:val="0"/>
          <w:i w:val="0"/>
          <w:color w:val="0B2235"/>
          <w:sz w:val="21"/>
        </w:rPr>
        <w:t xml:space="preserve">, </w:t>
      </w:r>
      <w:r>
        <w:rPr>
          <w:rFonts w:ascii="Consolas" w:hAnsi="Consolas" w:cs="Consolas"/>
          <w:b w:val="0"/>
          <w:i w:val="0"/>
          <w:color w:val="0B2235"/>
          <w:sz w:val="19"/>
        </w:rPr>
        <w:t>Contratado</w:t>
      </w:r>
      <w:r>
        <w:rPr>
          <w:b w:val="0"/>
          <w:i w:val="0"/>
          <w:color w:val="0B2235"/>
          <w:sz w:val="21"/>
        </w:rPr>
        <w:t xml:space="preserve">, </w:t>
      </w:r>
      <w:r>
        <w:rPr>
          <w:rFonts w:ascii="Consolas" w:hAnsi="Consolas" w:cs="Consolas"/>
          <w:b w:val="0"/>
          <w:i w:val="0"/>
          <w:color w:val="0B2235"/>
          <w:sz w:val="19"/>
        </w:rPr>
        <w:t>Medido</w:t>
      </w:r>
      <w:r>
        <w:rPr>
          <w:b w:val="0"/>
          <w:i w:val="0"/>
          <w:color w:val="0B2235"/>
          <w:sz w:val="21"/>
        </w:rPr>
        <w:t xml:space="preserve"> e </w:t>
      </w:r>
      <w:r>
        <w:rPr>
          <w:rFonts w:ascii="Consolas" w:hAnsi="Consolas" w:cs="Consolas"/>
          <w:b w:val="0"/>
          <w:i w:val="0"/>
          <w:color w:val="0B2235"/>
          <w:sz w:val="19"/>
        </w:rPr>
        <w:t>Saldo</w:t>
      </w:r>
      <w:r>
        <w:rPr>
          <w:b w:val="0"/>
          <w:i w:val="0"/>
          <w:color w:val="0B2235"/>
          <w:sz w:val="21"/>
        </w:rPr>
        <w:t xml:space="preserve"> — esta última ausente em </w:t>
      </w:r>
      <w:r>
        <w:rPr>
          <w:rFonts w:ascii="Consolas" w:hAnsi="Consolas" w:cs="Consolas"/>
          <w:b w:val="0"/>
          <w:i w:val="0"/>
          <w:color w:val="0B2235"/>
          <w:sz w:val="19"/>
        </w:rPr>
        <w:t>Sem Divergência</w:t>
      </w:r>
      <w:r>
        <w:rPr>
          <w:b w:val="0"/>
          <w:i w:val="0"/>
          <w:color w:val="0B2235"/>
          <w:sz w:val="21"/>
        </w:rPr>
        <w:t>, onde seria uma coluna de zeros.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As quantidades são </w:t>
      </w:r>
      <w:r>
        <w:rPr>
          <w:b/>
          <w:i w:val="0"/>
          <w:color w:val="0B2235"/>
          <w:sz w:val="21"/>
        </w:rPr>
        <w:t>números de verdade</w:t>
      </w:r>
      <w:r>
        <w:rPr>
          <w:b w:val="0"/>
          <w:i w:val="0"/>
          <w:color w:val="0B2235"/>
          <w:sz w:val="21"/>
        </w:rPr>
        <w:t>, não texto: a célula guarda o valor cheio e exibe a grafia do relatório pelo formato de exibição. Você pode somar, filtrar e ordenar a planilha sem conversão nenhuma.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Duas colunas existem só nesta planilha, porque ela circula sem as legendas da tela: </w:t>
      </w:r>
      <w:r>
        <w:rPr>
          <w:rFonts w:ascii="Consolas" w:hAnsi="Consolas" w:cs="Consolas"/>
          <w:b w:val="0"/>
          <w:i w:val="0"/>
          <w:color w:val="0B2235"/>
          <w:sz w:val="19"/>
        </w:rPr>
        <w:t>Perfil ou pacote</w:t>
      </w:r>
      <w:r>
        <w:rPr>
          <w:b w:val="0"/>
          <w:i w:val="0"/>
          <w:color w:val="0B2235"/>
          <w:sz w:val="21"/>
        </w:rPr>
        <w:t xml:space="preserve">, na aba </w:t>
      </w:r>
      <w:r>
        <w:rPr>
          <w:rFonts w:ascii="Consolas" w:hAnsi="Consolas" w:cs="Consolas"/>
          <w:b w:val="0"/>
          <w:i w:val="0"/>
          <w:color w:val="0B2235"/>
          <w:sz w:val="19"/>
        </w:rPr>
        <w:t>Sem Divergência</w:t>
      </w:r>
      <w:r>
        <w:rPr>
          <w:b w:val="0"/>
          <w:i w:val="0"/>
          <w:color w:val="0B2235"/>
          <w:sz w:val="21"/>
        </w:rPr>
        <w:t xml:space="preserve">, e </w:t>
      </w:r>
      <w:r>
        <w:rPr>
          <w:rFonts w:ascii="Consolas" w:hAnsi="Consolas" w:cs="Consolas"/>
          <w:b w:val="0"/>
          <w:i w:val="0"/>
          <w:color w:val="0B2235"/>
          <w:sz w:val="19"/>
        </w:rPr>
        <w:t>Sem previsão contratual</w:t>
      </w:r>
      <w:r>
        <w:rPr>
          <w:b w:val="0"/>
          <w:i w:val="0"/>
          <w:color w:val="0B2235"/>
          <w:sz w:val="21"/>
        </w:rPr>
        <w:t xml:space="preserve">, na aba </w:t>
      </w:r>
      <w:r>
        <w:rPr>
          <w:rFonts w:ascii="Consolas" w:hAnsi="Consolas" w:cs="Consolas"/>
          <w:b w:val="0"/>
          <w:i w:val="0"/>
          <w:color w:val="0B2235"/>
          <w:sz w:val="19"/>
        </w:rPr>
        <w:t>Itens Críticos</w:t>
      </w:r>
      <w:r>
        <w:rPr>
          <w:b w:val="0"/>
          <w:i w:val="0"/>
          <w:color w:val="0B2235"/>
          <w:sz w:val="21"/>
        </w:rPr>
        <w:t xml:space="preserve">. As duas trazem texto legível — </w:t>
      </w:r>
      <w:r>
        <w:rPr>
          <w:b w:val="0"/>
          <w:i/>
          <w:color w:val="0B2235"/>
          <w:sz w:val="21"/>
        </w:rPr>
        <w:t>Sim — entra como 1/1</w:t>
      </w:r>
      <w:r>
        <w:rPr>
          <w:b w:val="0"/>
          <w:i w:val="0"/>
          <w:color w:val="0B2235"/>
          <w:sz w:val="21"/>
        </w:rPr>
        <w:t xml:space="preserve">, </w:t>
      </w:r>
      <w:r>
        <w:rPr>
          <w:b w:val="0"/>
          <w:i/>
          <w:color w:val="0B2235"/>
          <w:sz w:val="21"/>
        </w:rPr>
        <w:t>Sim — não consta no contrato</w:t>
      </w:r>
      <w:r>
        <w:rPr>
          <w:b w:val="0"/>
          <w:i w:val="0"/>
          <w:color w:val="0B2235"/>
          <w:sz w:val="21"/>
        </w:rPr>
        <w:t xml:space="preserve"> — e nunca </w:t>
      </w:r>
      <w:r>
        <w:rPr>
          <w:rFonts w:ascii="Consolas" w:hAnsi="Consolas" w:cs="Consolas"/>
          <w:b w:val="0"/>
          <w:i w:val="0"/>
          <w:color w:val="0B2235"/>
          <w:sz w:val="19"/>
        </w:rPr>
        <w:t>VERDADEIRO</w:t>
      </w:r>
      <w:r>
        <w:rPr>
          <w:b w:val="0"/>
          <w:i w:val="0"/>
          <w:color w:val="0B2235"/>
          <w:sz w:val="21"/>
        </w:rPr>
        <w:t>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7.3 Os nomes dos arquivos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O navegador nomeia os dois downloads sozinho, a partir da referência do contrato e da competência: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6"/>
        <w:gridCol w:w="6436"/>
      </w:tblGrid>
      <w:tr>
        <w:trPr>
          <w:tblHeader/>
          <w:cantSplit/>
        </w:trPr>
        <w:tc>
          <w:tcPr>
            <w:tcW w:type="dxa" w:w="33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643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Padrão do nome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Relatório de comprovação</w:t>
            </w:r>
          </w:p>
        </w:tc>
        <w:tc>
          <w:tcPr>
            <w:tcW w:type="dxa" w:w="6436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confere-&lt;contrato&gt;-&lt;aaaa-mm&gt;.docx</w:t>
            </w:r>
          </w:p>
        </w:tc>
      </w:tr>
      <w:tr>
        <w:trPr>
          <w:cantSplit/>
        </w:trPr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Análise da medição</w:t>
            </w:r>
          </w:p>
        </w:tc>
        <w:tc>
          <w:tcPr>
            <w:tcW w:type="dxa" w:w="64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confere-analise-&lt;contrato&gt;-&lt;aaaa-mm&gt;.xlsx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 competência entra como </w:t>
      </w:r>
      <w:r>
        <w:rPr>
          <w:rFonts w:ascii="Consolas" w:hAnsi="Consolas" w:cs="Consolas"/>
          <w:b w:val="0"/>
          <w:i w:val="0"/>
          <w:color w:val="0B2235"/>
          <w:sz w:val="19"/>
        </w:rPr>
        <w:t>aaaa-mm</w:t>
      </w:r>
      <w:r>
        <w:rPr>
          <w:b w:val="0"/>
          <w:i w:val="0"/>
          <w:color w:val="0B2235"/>
          <w:sz w:val="21"/>
        </w:rPr>
        <w:t xml:space="preserve"> para que doze meses ordenem sozinhos na pasta, e </w:t>
      </w:r>
      <w:r>
        <w:rPr>
          <w:rFonts w:ascii="Consolas" w:hAnsi="Consolas" w:cs="Consolas"/>
          <w:b w:val="0"/>
          <w:i w:val="0"/>
          <w:color w:val="0B2235"/>
          <w:sz w:val="19"/>
        </w:rPr>
        <w:t>analise</w:t>
      </w:r>
      <w:r>
        <w:rPr>
          <w:b w:val="0"/>
          <w:i w:val="0"/>
          <w:color w:val="0B2235"/>
          <w:sz w:val="21"/>
        </w:rPr>
        <w:t xml:space="preserve"> no nome distingue os dois arquivos da mesma competência sem depender da extensão.</w:t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8. Avisos, bloqueios e erros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8.1 A diferença entre avisar e bloquear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Antes de gerar qualquer coisa, dez verificações rodam sobre as entradas. Cada uma tem identificador próprio e um de dois efeitos: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1755"/>
        <w:gridCol w:w="7997"/>
      </w:tblGrid>
      <w:tr>
        <w:trPr>
          <w:tblHeader/>
          <w:cantSplit/>
        </w:trPr>
        <w:tc>
          <w:tcPr>
            <w:tcW w:type="dxa" w:w="1755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Efeito</w:t>
            </w:r>
          </w:p>
        </w:tc>
        <w:tc>
          <w:tcPr>
            <w:tcW w:type="dxa" w:w="7997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rPr>
          <w:cantSplit/>
        </w:trPr>
        <w:tc>
          <w:tcPr>
            <w:tcW w:type="dxa" w:w="1755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7997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Nada é gerado. A tela mostra </w:t>
            </w:r>
            <w:r>
              <w:rPr>
                <w:b w:val="0"/>
                <w:i/>
                <w:color w:val="0B2235"/>
                <w:sz w:val="18"/>
              </w:rPr>
              <w:t>Processamento bloqueado — nenhum relatório foi gerado</w:t>
            </w:r>
            <w:r>
              <w:rPr>
                <w:b w:val="0"/>
                <w:i w:val="0"/>
                <w:color w:val="0B2235"/>
                <w:sz w:val="18"/>
              </w:rPr>
              <w:t xml:space="preserve">, com a lista de achados em vermelho. </w:t>
            </w:r>
            <w:r>
              <w:rPr>
                <w:b/>
                <w:i w:val="0"/>
                <w:color w:val="0B2235"/>
                <w:sz w:val="18"/>
              </w:rPr>
              <w:t>Não há download</w:t>
            </w:r>
            <w:r>
              <w:rPr>
                <w:b w:val="0"/>
                <w:i w:val="0"/>
                <w:color w:val="0B2235"/>
                <w:sz w:val="18"/>
              </w:rPr>
              <w:t>: nem documento, nem linha, nem relatório parcial.</w:t>
            </w:r>
          </w:p>
        </w:tc>
      </w:tr>
      <w:tr>
        <w:trPr>
          <w:cantSplit/>
        </w:trPr>
        <w:tc>
          <w:tcPr>
            <w:tcW w:type="dxa" w:w="175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AVISA</w:t>
            </w:r>
          </w:p>
        </w:tc>
        <w:tc>
          <w:tcPr>
            <w:tcW w:type="dxa" w:w="7997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relatório é gerado normalmente, e a ressalva fica registrada e exibida em âmbar, abaixo do grid e na contagem da faixa de resultado.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princípio por trás disso: </w:t>
      </w:r>
      <w:r>
        <w:rPr>
          <w:b/>
          <w:i w:val="0"/>
          <w:color w:val="0B2235"/>
          <w:sz w:val="21"/>
        </w:rPr>
        <w:t>nenhum item pode receber quantidade zero por falha silenciosa de extração</w:t>
      </w:r>
      <w:r>
        <w:rPr>
          <w:b w:val="0"/>
          <w:i w:val="0"/>
          <w:color w:val="0B2235"/>
          <w:sz w:val="21"/>
        </w:rPr>
        <w:t>. Um arquivo fora do padrão produz mensagem clara, nunca um documento errado.</w:t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8.2 As validações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Cada achado aparece na tela com o identificador à esquerda da mensagem. Use a tabela abaixo para saber o que fazer com ele.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975"/>
        <w:gridCol w:w="2731"/>
        <w:gridCol w:w="1073"/>
        <w:gridCol w:w="4974"/>
      </w:tblGrid>
      <w:tr>
        <w:trPr>
          <w:tblHeader/>
          <w:cantSplit/>
        </w:trPr>
        <w:tc>
          <w:tcPr>
            <w:tcW w:type="dxa" w:w="975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73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verifica</w:t>
            </w:r>
          </w:p>
        </w:tc>
        <w:tc>
          <w:tcPr>
            <w:tcW w:type="dxa" w:w="1073"/>
            <w:shd w:val="clear" w:color="auto" w:fill="0E3E5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Efeito</w:t>
            </w:r>
          </w:p>
        </w:tc>
        <w:tc>
          <w:tcPr>
            <w:tcW w:type="dxa" w:w="4974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V-CTR-01</w:t>
            </w:r>
          </w:p>
        </w:tc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tabela de itens foi localizada no contrato e tem ao menos uma linha</w:t>
            </w:r>
          </w:p>
        </w:tc>
        <w:tc>
          <w:tcPr>
            <w:tcW w:type="dxa" w:w="107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497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Confirme que o PDF é a proposta comercial </w:t>
            </w:r>
            <w:r>
              <w:rPr>
                <w:b/>
                <w:i w:val="0"/>
                <w:color w:val="0B2235"/>
                <w:sz w:val="18"/>
              </w:rPr>
              <w:t>completa</w:t>
            </w:r>
            <w:r>
              <w:rPr>
                <w:b w:val="0"/>
                <w:i w:val="0"/>
                <w:color w:val="0B2235"/>
                <w:sz w:val="18"/>
              </w:rPr>
              <w:t>, e não um extrato ou um resumo</w:t>
            </w:r>
          </w:p>
        </w:tc>
      </w:tr>
      <w:tr>
        <w:trPr>
          <w:cantSplit/>
        </w:trPr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V-CTR-02</w:t>
            </w:r>
          </w:p>
        </w:tc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Todo código do catálogo foi resolvido no contrato</w:t>
            </w:r>
          </w:p>
        </w:tc>
        <w:tc>
          <w:tcPr>
            <w:tcW w:type="dxa" w:w="1073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4974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contrato enviado não é o vigente, ou o catálogo precisa de revisão. Acione a área responsável pelo catálogo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V-CTR-03</w:t>
            </w:r>
          </w:p>
        </w:tc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soma dos itens bate com o total declarado no contrato</w:t>
            </w:r>
          </w:p>
        </w:tc>
        <w:tc>
          <w:tcPr>
            <w:tcW w:type="dxa" w:w="107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497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extração ficou incompleta — costuma indicar PDF danificado ou gerado por digitalização. Obtenha o arquivo original</w:t>
            </w:r>
          </w:p>
        </w:tc>
      </w:tr>
      <w:tr>
        <w:trPr>
          <w:cantSplit/>
        </w:trPr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V-MED-01</w:t>
            </w:r>
          </w:p>
        </w:tc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  <w:r>
              <w:rPr>
                <w:b w:val="0"/>
                <w:i w:val="0"/>
                <w:color w:val="0B2235"/>
                <w:sz w:val="18"/>
              </w:rPr>
              <w:t xml:space="preserve"> existe e produziu itens</w:t>
            </w:r>
          </w:p>
        </w:tc>
        <w:tc>
          <w:tcPr>
            <w:tcW w:type="dxa" w:w="1073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4974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Verifique se a planilha é a de medição da competência e se a aba não foi renomeada ou alterada de estrutura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V-CAT-01</w:t>
            </w:r>
          </w:p>
        </w:tc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catálogo não tem código nem ordem duplicados</w:t>
            </w:r>
          </w:p>
        </w:tc>
        <w:tc>
          <w:tcPr>
            <w:tcW w:type="dxa" w:w="107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BLOQUEIA</w:t>
            </w:r>
          </w:p>
        </w:tc>
        <w:tc>
          <w:tcPr>
            <w:tcW w:type="dxa" w:w="497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Só ocorre com catálogo enviado por upload. Acione a área responsável</w:t>
            </w:r>
          </w:p>
        </w:tc>
      </w:tr>
      <w:tr>
        <w:trPr>
          <w:cantSplit/>
        </w:trPr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V-MED-02</w:t>
            </w:r>
          </w:p>
        </w:tc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Data do levantamento e contrato de referência no cabeçalho da aba</w:t>
            </w:r>
          </w:p>
        </w:tc>
        <w:tc>
          <w:tcPr>
            <w:tcW w:type="dxa" w:w="1073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AVISA</w:t>
            </w:r>
          </w:p>
        </w:tc>
        <w:tc>
          <w:tcPr>
            <w:tcW w:type="dxa" w:w="4974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 relatório sai, mas o topo do documento e o nome do arquivo ficam sem essas informações. Confira o cabeçalho da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V-CAT-02</w:t>
            </w:r>
          </w:p>
        </w:tc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Códigos do contrato ausentes do catálogo</w:t>
            </w:r>
          </w:p>
        </w:tc>
        <w:tc>
          <w:tcPr>
            <w:tcW w:type="dxa" w:w="107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AVISA</w:t>
            </w:r>
          </w:p>
        </w:tc>
        <w:tc>
          <w:tcPr>
            <w:tcW w:type="dxa" w:w="497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O item existe no contrato e </w:t>
            </w:r>
            <w:r>
              <w:rPr>
                <w:b/>
                <w:i w:val="0"/>
                <w:color w:val="0B2235"/>
                <w:sz w:val="18"/>
              </w:rPr>
              <w:t>não entrará no relatório</w:t>
            </w:r>
            <w:r>
              <w:rPr>
                <w:b w:val="0"/>
                <w:i w:val="0"/>
                <w:color w:val="0B2235"/>
                <w:sz w:val="18"/>
              </w:rPr>
              <w:t>. Costuma indicar catálogo desatualizado após um aditivo</w:t>
            </w:r>
          </w:p>
        </w:tc>
      </w:tr>
      <w:tr>
        <w:trPr>
          <w:cantSplit/>
        </w:trPr>
        <w:tc>
          <w:tcPr>
            <w:tcW w:type="dxa" w:w="975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V-CAT-03</w:t>
            </w:r>
          </w:p>
        </w:tc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Códigos do catálogo sem correspondência na planilha</w:t>
            </w:r>
          </w:p>
        </w:tc>
        <w:tc>
          <w:tcPr>
            <w:tcW w:type="dxa" w:w="1073"/>
            <w:shd w:val="clear" w:color="auto" w:fill="F4F7F8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AVISA</w:t>
            </w:r>
          </w:p>
        </w:tc>
        <w:tc>
          <w:tcPr>
            <w:tcW w:type="dxa" w:w="4974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A linha sai </w:t>
            </w:r>
            <w:r>
              <w:rPr>
                <w:b/>
                <w:i w:val="0"/>
                <w:color w:val="0B2235"/>
                <w:sz w:val="18"/>
              </w:rPr>
              <w:t>zerada</w:t>
            </w:r>
            <w:r>
              <w:rPr>
                <w:b w:val="0"/>
                <w:i w:val="0"/>
                <w:color w:val="0B2235"/>
                <w:sz w:val="18"/>
              </w:rPr>
              <w:t xml:space="preserve"> no relatório. Confirme se o serviço não foi mesmo medido no período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V-REC-01</w:t>
            </w:r>
          </w:p>
        </w:tc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Quantidade contratada divergente entre o contrato e a planilha</w:t>
            </w:r>
          </w:p>
        </w:tc>
        <w:tc>
          <w:tcPr>
            <w:tcW w:type="dxa" w:w="1073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0B2235"/>
                <w:sz w:val="18"/>
              </w:rPr>
              <w:t>AVISA</w:t>
            </w:r>
          </w:p>
        </w:tc>
        <w:tc>
          <w:tcPr>
            <w:tcW w:type="dxa" w:w="4974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Confira antes de encaminhar.</w:t>
            </w:r>
            <w:r>
              <w:rPr>
                <w:b w:val="0"/>
                <w:i w:val="0"/>
                <w:color w:val="0B2235"/>
                <w:sz w:val="18"/>
              </w:rPr>
              <w:t xml:space="preserve"> O relatório usa a do contrato. Este é o aviso que expõe planilha defasada em relação a aditivo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8.3 As linhas que saem como perfil ou pacote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Quando a coluna </w:t>
      </w:r>
      <w:r>
        <w:rPr>
          <w:b/>
          <w:i w:val="0"/>
          <w:color w:val="0B2235"/>
          <w:sz w:val="21"/>
        </w:rPr>
        <w:t>Quantidade Medida</w:t>
      </w:r>
      <w:r>
        <w:rPr>
          <w:b w:val="0"/>
          <w:i w:val="0"/>
          <w:color w:val="0B2235"/>
          <w:sz w:val="21"/>
        </w:rPr>
        <w:t xml:space="preserve"> da aba </w:t>
      </w:r>
      <w:r>
        <w:rPr>
          <w:rFonts w:ascii="Consolas" w:hAnsi="Consolas" w:cs="Consolas"/>
          <w:b w:val="0"/>
          <w:i w:val="0"/>
          <w:color w:val="0B2235"/>
          <w:sz w:val="19"/>
        </w:rPr>
        <w:t>Levantamento</w:t>
      </w:r>
      <w:r>
        <w:rPr>
          <w:b w:val="0"/>
          <w:i w:val="0"/>
          <w:color w:val="0B2235"/>
          <w:sz w:val="21"/>
        </w:rPr>
        <w:t xml:space="preserve"> não traz um número — e sim </w:t>
      </w:r>
      <w:r>
        <w:rPr>
          <w:rFonts w:ascii="Consolas" w:hAnsi="Consolas" w:cs="Consolas"/>
          <w:b w:val="0"/>
          <w:i w:val="0"/>
          <w:color w:val="0B2235"/>
          <w:sz w:val="19"/>
        </w:rPr>
        <w:t>PACOTE</w:t>
      </w:r>
      <w:r>
        <w:rPr>
          <w:b w:val="0"/>
          <w:i w:val="0"/>
          <w:color w:val="0B2235"/>
          <w:sz w:val="21"/>
        </w:rPr>
        <w:t xml:space="preserve">, uma letra de perfil ou um traço —, o sistema entende que o item é de plano ou pacote e lança </w:t>
      </w:r>
      <w:r>
        <w:rPr>
          <w:b/>
          <w:i w:val="0"/>
          <w:color w:val="0B2235"/>
          <w:sz w:val="21"/>
        </w:rPr>
        <w:t>1 contratado e 1 medido</w:t>
      </w:r>
      <w:r>
        <w:rPr>
          <w:b w:val="0"/>
          <w:i w:val="0"/>
          <w:color w:val="0B2235"/>
          <w:sz w:val="21"/>
        </w:rPr>
        <w:t>. É o tratamento correto para esse tipo de serviço: pacote não se conta.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Como isso é uma </w:t>
      </w:r>
      <w:r>
        <w:rPr>
          <w:b/>
          <w:i w:val="0"/>
          <w:color w:val="0B2235"/>
          <w:sz w:val="21"/>
        </w:rPr>
        <w:t>dedução</w:t>
      </w:r>
      <w:r>
        <w:rPr>
          <w:b w:val="0"/>
          <w:i w:val="0"/>
          <w:color w:val="0B2235"/>
          <w:sz w:val="21"/>
        </w:rPr>
        <w:t>, e não uma leitura, a tela mostra todas as linhas em que ela foi aplicada, numa tabela abaixo do grid, com o conteúdo exato das duas células e o número da linha na planilha.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Confira essas linhas antes de encaminhar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PACOTE</w:t>
            </w:r>
            <w:r>
              <w:rPr>
                <w:b w:val="0"/>
                <w:i w:val="0"/>
                <w:color w:val="0B2235"/>
                <w:sz w:val="20"/>
              </w:rPr>
              <w:t xml:space="preserve"> e letra de perfil estão certos. Célula </w:t>
            </w:r>
            <w:r>
              <w:rPr>
                <w:b/>
                <w:i w:val="0"/>
                <w:color w:val="0B2235"/>
                <w:sz w:val="20"/>
              </w:rPr>
              <w:t>vazia</w:t>
            </w:r>
            <w:r>
              <w:rPr>
                <w:b w:val="0"/>
                <w:i w:val="0"/>
                <w:color w:val="0B2235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-</w:t>
            </w:r>
            <w:r>
              <w:rPr>
                <w:b w:val="0"/>
                <w:i w:val="0"/>
                <w:color w:val="0B2235"/>
                <w:sz w:val="20"/>
              </w:rPr>
              <w:t xml:space="preserve"> ou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N/A</w:t>
            </w:r>
            <w:r>
              <w:rPr>
                <w:b w:val="0"/>
                <w:i w:val="0"/>
                <w:color w:val="0B2235"/>
                <w:sz w:val="20"/>
              </w:rPr>
              <w:t xml:space="preserve"> não: aquela linha deveria ter quantidade e vai sair faturada como 1. Vale conferir também se a letra do perfil medido é a mesma do contratado — o relatório mostra 1 e 1 nos dois casos, e a tabela é o único lugar onde essa diferença aparece.</w:t>
            </w:r>
          </w:p>
        </w:tc>
      </w:tr>
    </w:tbl>
    <w:p>
      <w:pPr>
        <w:spacing w:after="0" w:before="0"/>
      </w:pPr>
      <w:r>
        <w:rPr>
          <w:sz w:val="10"/>
        </w:rPr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 xml:space="preserve">O aviso </w:t>
            </w:r>
            <w:r>
              <w:rPr>
                <w:rFonts w:ascii="Consolas" w:hAnsi="Consolas" w:cs="Consolas"/>
                <w:b/>
                <w:i w:val="0"/>
                <w:color w:val="FF671D"/>
                <w:sz w:val="19"/>
              </w:rPr>
              <w:t>V-REC-01</w:t>
            </w:r>
            <w:r>
              <w:rPr>
                <w:b/>
                <w:i w:val="0"/>
                <w:color w:val="FF671D"/>
                <w:sz w:val="21"/>
              </w:rPr>
              <w:t xml:space="preserve"> merece leitura, sempre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>Ele compara a quantidade contratada das duas fontes e denuncia quando elas discordam. Foi ele que expôs, no piloto, um item cujo aditivo elevou a quantidade de 6 para 10 e que o relatório montado à mão manteve em 6 — uma divergência que a conferência manual não pegou em nenhuma competência.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2"/>
        <w:keepNext/>
        <w:spacing w:before="280" w:after="80"/>
      </w:pPr>
      <w:r>
        <w:rPr>
          <w:color w:val="0B2235"/>
          <w:sz w:val="26"/>
        </w:rPr>
        <w:t>8.4 Quando a mensagem é de comunicação, não de conteúdo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6"/>
        <w:gridCol w:w="2340"/>
        <w:gridCol w:w="4096"/>
      </w:tblGrid>
      <w:tr>
        <w:trPr>
          <w:tblHeader/>
          <w:cantSplit/>
        </w:trPr>
        <w:tc>
          <w:tcPr>
            <w:tcW w:type="dxa" w:w="33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Mensagem na tela</w:t>
            </w:r>
          </w:p>
        </w:tc>
        <w:tc>
          <w:tcPr>
            <w:tcW w:type="dxa" w:w="2340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significa</w:t>
            </w:r>
          </w:p>
        </w:tc>
        <w:tc>
          <w:tcPr>
            <w:tcW w:type="dxa" w:w="409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/>
                <w:color w:val="0B2235"/>
                <w:sz w:val="18"/>
              </w:rPr>
              <w:t>A geração passou de três minutos e foi interrompida. O servidor pode estar sobrecarregado — tente novamente em instantes.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aplicação estava trabalhando, mas passou do teto de espera</w:t>
            </w:r>
          </w:p>
        </w:tc>
        <w:tc>
          <w:tcPr>
            <w:tcW w:type="dxa" w:w="409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Aguarde alguns instantes e repita. Se persistir, acione o suporte: pode haver mais gerações simultâneas do que o servidor comporta</w:t>
            </w:r>
          </w:p>
        </w:tc>
      </w:tr>
      <w:tr>
        <w:trPr>
          <w:cantSplit/>
        </w:trPr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/>
                <w:color w:val="0B2235"/>
                <w:sz w:val="18"/>
              </w:rPr>
              <w:t>Não foi possível falar com o servidor. Verifique se o backend está no ar.</w:t>
            </w:r>
          </w:p>
        </w:tc>
        <w:tc>
          <w:tcPr>
            <w:tcW w:type="dxa" w:w="2340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requisição não chegou ao destino</w:t>
            </w:r>
          </w:p>
        </w:tc>
        <w:tc>
          <w:tcPr>
            <w:tcW w:type="dxa" w:w="409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Confirme o endereço e a conexão de rede. Em uso local, verifique se o serviço está em execução e se você abriu a página por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localhost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 w:val="0"/>
                <w:i/>
                <w:color w:val="0B2235"/>
                <w:sz w:val="18"/>
              </w:rPr>
              <w:t>Falha no processamento</w:t>
            </w:r>
            <w:r>
              <w:rPr>
                <w:b w:val="0"/>
                <w:i w:val="0"/>
                <w:color w:val="0B2235"/>
                <w:sz w:val="18"/>
              </w:rPr>
              <w:t xml:space="preserve"> seguido de um código HTTP</w:t>
            </w:r>
          </w:p>
        </w:tc>
        <w:tc>
          <w:tcPr>
            <w:tcW w:type="dxa" w:w="234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Erro inesperado no servidor</w:t>
            </w:r>
          </w:p>
        </w:tc>
        <w:tc>
          <w:tcPr>
            <w:tcW w:type="dxa" w:w="409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Repita uma vez. Persistindo, acione o suporte informando o código e os dois arquivos usados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9. Conferência antes de encaminhar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O Confere produz o documento; a responsabilidade pelo que se encaminha segue sendo de quem assina. Esta é a lista mínima.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1.</w:t>
        <w:tab/>
      </w:r>
      <w:r>
        <w:rPr>
          <w:b/>
          <w:i w:val="0"/>
          <w:color w:val="0B2235"/>
          <w:sz w:val="21"/>
        </w:rPr>
        <w:t>A capa.</w:t>
      </w:r>
      <w:r>
        <w:rPr>
          <w:b w:val="0"/>
          <w:i w:val="0"/>
          <w:color w:val="0B2235"/>
          <w:sz w:val="21"/>
        </w:rPr>
        <w:t xml:space="preserve"> Ela é conteúdo fixo do modelo. Se o contrato não for o do piloto, a referência do contrato e a da proposta na capa estarão erradas e precisam ser corrigidas no </w:t>
      </w:r>
      <w:r>
        <w:rPr>
          <w:rFonts w:ascii="Consolas" w:hAnsi="Consolas" w:cs="Consolas"/>
          <w:b w:val="0"/>
          <w:i w:val="0"/>
          <w:color w:val="0B2235"/>
          <w:sz w:val="19"/>
        </w:rPr>
        <w:t>.docx</w:t>
      </w:r>
      <w:r>
        <w:rPr>
          <w:b w:val="0"/>
          <w:i w:val="0"/>
          <w:color w:val="0B2235"/>
          <w:sz w:val="21"/>
        </w:rPr>
        <w:t>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2.</w:t>
        <w:tab/>
      </w:r>
      <w:r>
        <w:rPr>
          <w:b/>
          <w:i w:val="0"/>
          <w:color w:val="0B2235"/>
          <w:sz w:val="21"/>
        </w:rPr>
        <w:t>Os avisos.</w:t>
      </w:r>
      <w:r>
        <w:rPr>
          <w:b w:val="0"/>
          <w:i w:val="0"/>
          <w:color w:val="0B2235"/>
          <w:sz w:val="21"/>
        </w:rPr>
        <w:t xml:space="preserve"> Leia cada um. </w:t>
      </w:r>
      <w:r>
        <w:rPr>
          <w:rFonts w:ascii="Consolas" w:hAnsi="Consolas" w:cs="Consolas"/>
          <w:b w:val="0"/>
          <w:i w:val="0"/>
          <w:color w:val="0B2235"/>
          <w:sz w:val="19"/>
        </w:rPr>
        <w:t>V-REC-01</w:t>
      </w:r>
      <w:r>
        <w:rPr>
          <w:b w:val="0"/>
          <w:i w:val="0"/>
          <w:color w:val="0B2235"/>
          <w:sz w:val="21"/>
        </w:rPr>
        <w:t xml:space="preserve"> e </w:t>
      </w:r>
      <w:r>
        <w:rPr>
          <w:rFonts w:ascii="Consolas" w:hAnsi="Consolas" w:cs="Consolas"/>
          <w:b w:val="0"/>
          <w:i w:val="0"/>
          <w:color w:val="0B2235"/>
          <w:sz w:val="19"/>
        </w:rPr>
        <w:t>V-CAT-03</w:t>
      </w:r>
      <w:r>
        <w:rPr>
          <w:b w:val="0"/>
          <w:i w:val="0"/>
          <w:color w:val="0B2235"/>
          <w:sz w:val="21"/>
        </w:rPr>
        <w:t xml:space="preserve"> alteram a leitura de linhas específicas do relatório.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3.</w:t>
        <w:tab/>
      </w:r>
      <w:r>
        <w:rPr>
          <w:b/>
          <w:i w:val="0"/>
          <w:color w:val="0B2235"/>
          <w:sz w:val="21"/>
        </w:rPr>
        <w:t>O bloco Item crítico.</w:t>
      </w:r>
      <w:r>
        <w:rPr>
          <w:b w:val="0"/>
          <w:i w:val="0"/>
          <w:color w:val="0B2235"/>
          <w:sz w:val="21"/>
        </w:rPr>
        <w:t xml:space="preserve"> Consumo sem cobertura contratual é o achado que não pode seguir sem tratamento.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4.</w:t>
        <w:tab/>
      </w:r>
      <w:r>
        <w:rPr>
          <w:b/>
          <w:i w:val="0"/>
          <w:color w:val="0B2235"/>
          <w:sz w:val="21"/>
        </w:rPr>
        <w:t>Os itens sem previsão contratual.</w:t>
      </w:r>
      <w:r>
        <w:rPr>
          <w:b w:val="0"/>
          <w:i w:val="0"/>
          <w:color w:val="0B2235"/>
          <w:sz w:val="21"/>
        </w:rPr>
        <w:t xml:space="preserve"> Eles não estão no documento — estão apenas na tela e na aba </w:t>
      </w:r>
      <w:r>
        <w:rPr>
          <w:rFonts w:ascii="Consolas" w:hAnsi="Consolas" w:cs="Consolas"/>
          <w:b w:val="0"/>
          <w:i w:val="0"/>
          <w:color w:val="0B2235"/>
          <w:sz w:val="19"/>
        </w:rPr>
        <w:t>Itens Críticos</w:t>
      </w:r>
      <w:r>
        <w:rPr>
          <w:b w:val="0"/>
          <w:i w:val="0"/>
          <w:color w:val="0B2235"/>
          <w:sz w:val="21"/>
        </w:rPr>
        <w:t xml:space="preserve"> do XLSX. Se houver algum, ele precisa ser levado adiante por fora do relatório.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5.</w:t>
        <w:tab/>
      </w:r>
      <w:r>
        <w:rPr>
          <w:b/>
          <w:i w:val="0"/>
          <w:color w:val="0B2235"/>
          <w:sz w:val="21"/>
        </w:rPr>
        <w:t>A ressalva de perfil.</w:t>
      </w:r>
      <w:r>
        <w:rPr>
          <w:b w:val="0"/>
          <w:i w:val="0"/>
          <w:color w:val="0B2235"/>
          <w:sz w:val="21"/>
        </w:rPr>
        <w:t xml:space="preserve"> No bloco </w:t>
      </w:r>
      <w:r>
        <w:rPr>
          <w:b/>
          <w:i w:val="0"/>
          <w:color w:val="0B2235"/>
          <w:sz w:val="21"/>
        </w:rPr>
        <w:t>Sem divergência</w:t>
      </w:r>
      <w:r>
        <w:rPr>
          <w:b w:val="0"/>
          <w:i w:val="0"/>
          <w:color w:val="0B2235"/>
          <w:sz w:val="21"/>
        </w:rPr>
        <w:t>, confira quantos itens são de perfil ou pacote: neles a igualdade das quantidades não prova conformidade.</w:t>
      </w:r>
    </w:p>
    <w:p>
      <w:pPr>
        <w:spacing w:after="60" w:before="0"/>
        <w:ind w:left="360" w:hanging="360"/>
      </w:pPr>
      <w:r>
        <w:rPr>
          <w:b/>
          <w:color w:val="0E3E5E"/>
          <w:sz w:val="21"/>
        </w:rPr>
        <w:t>6.</w:t>
        <w:tab/>
      </w:r>
      <w:r>
        <w:rPr>
          <w:b/>
          <w:i w:val="0"/>
          <w:color w:val="0B2235"/>
          <w:sz w:val="21"/>
        </w:rPr>
        <w:t>A data do levantamento e a referência do contrato</w:t>
      </w:r>
      <w:r>
        <w:rPr>
          <w:b w:val="0"/>
          <w:i w:val="0"/>
          <w:color w:val="0B2235"/>
          <w:sz w:val="21"/>
        </w:rPr>
        <w:t xml:space="preserve"> no topo da tabela de comprovação, na página 2.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7EEF2"/>
            <w:tcBorders>
              <w:left w:val="single" w:sz="24" w:space="0" w:color="FF671D"/>
            </w:tcBorders>
          </w:tcPr>
          <w:p>
            <w:pPr>
              <w:spacing w:after="40" w:before="0"/>
            </w:pPr>
            <w:r>
              <w:rPr>
                <w:b/>
                <w:i w:val="0"/>
                <w:color w:val="FF671D"/>
                <w:sz w:val="21"/>
              </w:rPr>
              <w:t>O que a ferramenta encontra e o documento não mostra</w:t>
            </w:r>
          </w:p>
          <w:p>
            <w:pPr>
              <w:spacing w:after="0" w:before="0"/>
            </w:pPr>
            <w:r>
              <w:rPr>
                <w:b w:val="0"/>
                <w:i w:val="0"/>
                <w:color w:val="0B2235"/>
                <w:sz w:val="20"/>
              </w:rPr>
              <w:t xml:space="preserve">O relatório reproduz o modelo, e o modelo omite por construção itens com quantidade contratada zero e a Seção A. O achado não se perde: ele muda de lugar, para a tela e para o XLSX de análise. Encaminhar apenas o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8"/>
              </w:rPr>
              <w:t>.docx</w:t>
            </w:r>
            <w:r>
              <w:rPr>
                <w:b w:val="0"/>
                <w:i w:val="0"/>
                <w:color w:val="0B2235"/>
                <w:sz w:val="20"/>
              </w:rPr>
              <w:t xml:space="preserve"> sem ler a tela deixa esse achado para trás.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10. Operação por teclado e acessibilidade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 camada que você opera — formulário, painel de resultado e grid — está em conformidade com a </w:t>
      </w:r>
      <w:r>
        <w:rPr>
          <w:b/>
          <w:i w:val="0"/>
          <w:color w:val="0B2235"/>
          <w:sz w:val="21"/>
        </w:rPr>
        <w:t>WCAG 2.1 nível AA</w:t>
      </w:r>
      <w:r>
        <w:rPr>
          <w:b w:val="0"/>
          <w:i w:val="0"/>
          <w:color w:val="0B2235"/>
          <w:sz w:val="21"/>
        </w:rPr>
        <w:t>. A aplicação inteira pode ser usada sem mouse.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731"/>
        <w:gridCol w:w="7021"/>
      </w:tblGrid>
      <w:tr>
        <w:trPr>
          <w:tblHeader/>
          <w:cantSplit/>
        </w:trPr>
        <w:tc>
          <w:tcPr>
            <w:tcW w:type="dxa" w:w="273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Tecla</w:t>
            </w:r>
          </w:p>
        </w:tc>
        <w:tc>
          <w:tcPr>
            <w:tcW w:type="dxa" w:w="702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Efeito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Tab</w:t>
            </w:r>
            <w:r>
              <w:rPr>
                <w:b w:val="0"/>
                <w:i w:val="0"/>
                <w:color w:val="0B2235"/>
                <w:sz w:val="18"/>
              </w:rPr>
              <w:t xml:space="preserve"> / </w:t>
            </w:r>
            <w:r>
              <w:rPr>
                <w:b/>
                <w:i w:val="0"/>
                <w:color w:val="0B2235"/>
                <w:sz w:val="18"/>
              </w:rPr>
              <w:t>Shift+Tab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Percorre campos, botões, blocos e tabelas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Enter</w:t>
            </w:r>
            <w:r>
              <w:rPr>
                <w:b w:val="0"/>
                <w:i w:val="0"/>
                <w:color w:val="0B2235"/>
                <w:sz w:val="18"/>
              </w:rPr>
              <w:t xml:space="preserve"> ou </w:t>
            </w:r>
            <w:r>
              <w:rPr>
                <w:b/>
                <w:i w:val="0"/>
                <w:color w:val="0B2235"/>
                <w:sz w:val="18"/>
              </w:rPr>
              <w:t>Espaço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Aciona o campo de arquivo ou o botão em foco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Enter</w:t>
            </w:r>
            <w:r>
              <w:rPr>
                <w:b w:val="0"/>
                <w:i w:val="0"/>
                <w:color w:val="0B2235"/>
                <w:sz w:val="18"/>
              </w:rPr>
              <w:t xml:space="preserve"> no formulário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Envia — o mesmo que clicar em </w:t>
            </w:r>
            <w:r>
              <w:rPr>
                <w:b/>
                <w:i w:val="0"/>
                <w:color w:val="0B2235"/>
                <w:sz w:val="18"/>
              </w:rPr>
              <w:t>Gerar relatório</w:t>
            </w:r>
          </w:p>
        </w:tc>
      </w:tr>
      <w:tr>
        <w:trPr>
          <w:cantSplit/>
        </w:trPr>
        <w:tc>
          <w:tcPr>
            <w:tcW w:type="dxa" w:w="273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Enter</w:t>
            </w:r>
            <w:r>
              <w:rPr>
                <w:b w:val="0"/>
                <w:i w:val="0"/>
                <w:color w:val="0B2235"/>
                <w:sz w:val="18"/>
              </w:rPr>
              <w:t xml:space="preserve"> sobre um bloco da análise</w:t>
            </w:r>
          </w:p>
        </w:tc>
        <w:tc>
          <w:tcPr>
            <w:tcW w:type="dxa" w:w="702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Abre ou recolhe a situação; o estado é anunciado por leitor de tela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Setas</w:t>
            </w:r>
            <w:r>
              <w:rPr>
                <w:b w:val="0"/>
                <w:i w:val="0"/>
                <w:color w:val="0B2235"/>
                <w:sz w:val="18"/>
              </w:rPr>
              <w:t xml:space="preserve"> com o foco numa tabela</w:t>
            </w:r>
          </w:p>
        </w:tc>
        <w:tc>
          <w:tcPr>
            <w:tcW w:type="dxa" w:w="702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Rola horizontalmente. As tabelas transbordam em telas estreitas, e o contêiner que rola é alcançável por teclado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Duas consequências valem registro para quem opera:</w:t>
      </w:r>
    </w:p>
    <w:p>
      <w:pPr>
        <w:spacing w:after="60" w:before="0"/>
        <w:ind w:left="360" w:hanging="360"/>
      </w:pPr>
      <w:r>
        <w:rPr>
          <w:b w:val="0"/>
          <w:color w:val="FF671D"/>
          <w:sz w:val="21"/>
        </w:rPr>
        <w:t>•</w:t>
        <w:tab/>
      </w:r>
      <w:r>
        <w:rPr>
          <w:b/>
          <w:i w:val="0"/>
          <w:color w:val="0B2235"/>
          <w:sz w:val="21"/>
        </w:rPr>
        <w:t>Nenhuma informação depende só de cor.</w:t>
      </w:r>
      <w:r>
        <w:rPr>
          <w:b w:val="0"/>
          <w:i w:val="0"/>
          <w:color w:val="0B2235"/>
          <w:sz w:val="21"/>
        </w:rPr>
        <w:t xml:space="preserve"> Saldo negativo e marcação de perfil carregam sempre um portador textual.</w:t>
      </w:r>
    </w:p>
    <w:p>
      <w:pPr>
        <w:spacing w:after="60" w:before="0"/>
        <w:ind w:left="360" w:hanging="360"/>
      </w:pPr>
      <w:r>
        <w:rPr>
          <w:b w:val="0"/>
          <w:color w:val="FF671D"/>
          <w:sz w:val="21"/>
        </w:rPr>
        <w:t>•</w:t>
        <w:tab/>
      </w:r>
      <w:r>
        <w:rPr>
          <w:b/>
          <w:i w:val="0"/>
          <w:color w:val="0B2235"/>
          <w:sz w:val="21"/>
        </w:rPr>
        <w:t>Nenhuma explicação depende do cursor.</w:t>
      </w:r>
      <w:r>
        <w:rPr>
          <w:b w:val="0"/>
          <w:i w:val="0"/>
          <w:color w:val="0B2235"/>
          <w:sz w:val="21"/>
        </w:rPr>
        <w:t xml:space="preserve"> As ressalvas são legendas visíveis, não dicas que aparecem ao passar o mouse.</w:t>
      </w:r>
    </w:p>
    <w:p>
      <w:pPr>
        <w:spacing w:after="60" w:before="0"/>
        <w:ind w:left="360" w:hanging="360"/>
      </w:pPr>
      <w:r>
        <w:rPr>
          <w:b w:val="0"/>
          <w:color w:val="FF671D"/>
          <w:sz w:val="21"/>
        </w:rPr>
        <w:t>•</w:t>
        <w:tab/>
      </w:r>
      <w:r>
        <w:rPr>
          <w:b w:val="0"/>
          <w:i w:val="0"/>
          <w:color w:val="0B2235"/>
          <w:sz w:val="21"/>
        </w:rPr>
        <w:t>Ao fim do processamento o foco vai para o título do resultado, de modo que quem usa leitor de tela saiba que a espera terminou.</w:t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11. O que o Confere não faz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Cada linha abaixo é um limite deliberado, não uma pendência de implementação.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511"/>
        <w:gridCol w:w="6241"/>
      </w:tblGrid>
      <w:tr>
        <w:trPr>
          <w:tblHeader/>
          <w:cantSplit/>
        </w:trPr>
        <w:tc>
          <w:tcPr>
            <w:tcW w:type="dxa" w:w="351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Fora do escopo</w:t>
            </w:r>
          </w:p>
        </w:tc>
        <w:tc>
          <w:tcPr>
            <w:tcW w:type="dxa" w:w="6241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51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Calcular valores financeiros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relatório-alvo é de quantidades, não de preços</w:t>
            </w:r>
          </w:p>
        </w:tc>
      </w:tr>
      <w:tr>
        <w:trPr>
          <w:cantSplit/>
        </w:trPr>
        <w:tc>
          <w:tcPr>
            <w:tcW w:type="dxa" w:w="351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Consolidar contrato original e aditivos</w:t>
            </w:r>
          </w:p>
        </w:tc>
        <w:tc>
          <w:tcPr>
            <w:tcW w:type="dxa" w:w="624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Um único PDF vigente por execução</w:t>
            </w:r>
          </w:p>
        </w:tc>
      </w:tr>
      <w:tr>
        <w:trPr>
          <w:cantSplit/>
        </w:trPr>
        <w:tc>
          <w:tcPr>
            <w:tcW w:type="dxa" w:w="351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Comparar perfis — D contratado × C medido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layout de duas colunas numéricas não comporta a informação</w:t>
            </w:r>
          </w:p>
        </w:tc>
      </w:tr>
      <w:tr>
        <w:trPr>
          <w:cantSplit/>
        </w:trPr>
        <w:tc>
          <w:tcPr>
            <w:tcW w:type="dxa" w:w="351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Guardar histórico entre competências</w:t>
            </w:r>
          </w:p>
        </w:tc>
        <w:tc>
          <w:tcPr>
            <w:tcW w:type="dxa" w:w="624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serviço é sem estado, por decisão</w:t>
            </w:r>
          </w:p>
        </w:tc>
      </w:tr>
      <w:tr>
        <w:trPr>
          <w:cantSplit/>
        </w:trPr>
        <w:tc>
          <w:tcPr>
            <w:tcW w:type="dxa" w:w="351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Autenticação, cadastro, multiusuário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Não há dado sensível persistido</w:t>
            </w:r>
          </w:p>
        </w:tc>
      </w:tr>
      <w:tr>
        <w:trPr>
          <w:cantSplit/>
        </w:trPr>
        <w:tc>
          <w:tcPr>
            <w:tcW w:type="dxa" w:w="351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Recomendar ação por item</w:t>
            </w:r>
          </w:p>
        </w:tc>
        <w:tc>
          <w:tcPr>
            <w:tcW w:type="dxa" w:w="6241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Classificar é da aplicação; decidir o que fazer é do negócio</w:t>
            </w:r>
          </w:p>
        </w:tc>
      </w:tr>
      <w:tr>
        <w:trPr>
          <w:cantSplit/>
        </w:trPr>
        <w:tc>
          <w:tcPr>
            <w:tcW w:type="dxa" w:w="351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Filtro, busca ou ordenação no grid</w:t>
            </w:r>
          </w:p>
        </w:tc>
        <w:tc>
          <w:tcPr>
            <w:tcW w:type="dxa" w:w="6241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As divergências cabem numa rolagem, e a categorização por gravidade torna o filtro desnecessário. Para filtrar e ordenar, use o XLSX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12. Limitações conhecidas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As que afetam a leitura do resultado, e o que fazer diante de cada uma.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6"/>
        <w:gridCol w:w="6436"/>
      </w:tblGrid>
      <w:tr>
        <w:trPr>
          <w:tblHeader/>
          <w:cantSplit/>
        </w:trPr>
        <w:tc>
          <w:tcPr>
            <w:tcW w:type="dxa" w:w="33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Limitação</w:t>
            </w:r>
          </w:p>
        </w:tc>
        <w:tc>
          <w:tcPr>
            <w:tcW w:type="dxa" w:w="643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Como conviver com ela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 capa é conteúdo fixo</w:t>
            </w:r>
          </w:p>
        </w:tc>
        <w:tc>
          <w:tcPr>
            <w:tcW w:type="dxa" w:w="643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Reproduz o modelo institucional, com a referência do contrato e da proposta do piloto gravadas. Para outro contrato, corrija a capa no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.docx</w:t>
            </w:r>
            <w:r>
              <w:rPr>
                <w:b w:val="0"/>
                <w:i w:val="0"/>
                <w:color w:val="0B2235"/>
                <w:sz w:val="18"/>
              </w:rPr>
              <w:t xml:space="preserve"> antes de encaminhar</w:t>
            </w:r>
          </w:p>
        </w:tc>
      </w:tr>
      <w:tr>
        <w:trPr>
          <w:cantSplit/>
        </w:trPr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Itens de perfil perdem informação</w:t>
            </w:r>
          </w:p>
        </w:tc>
        <w:tc>
          <w:tcPr>
            <w:tcW w:type="dxa" w:w="64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Perfis e pacotes entram como 1/1, então perfil menor que o contratado — diferença comercialmente relevante — não aparece. Confira esses itens pela planilha de origem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Consumo sem previsão contratual não entra no documento</w:t>
            </w:r>
          </w:p>
        </w:tc>
        <w:tc>
          <w:tcPr>
            <w:tcW w:type="dxa" w:w="643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Ele aparece na tela e no XLSX, dentro de </w:t>
            </w:r>
            <w:r>
              <w:rPr>
                <w:b/>
                <w:i w:val="0"/>
                <w:color w:val="0B2235"/>
                <w:sz w:val="18"/>
              </w:rPr>
              <w:t>Item crítico</w:t>
            </w:r>
            <w:r>
              <w:rPr>
                <w:b w:val="0"/>
                <w:i w:val="0"/>
                <w:color w:val="0B2235"/>
                <w:sz w:val="18"/>
              </w:rPr>
              <w:t>. Leve-o adiante por fora do relatório</w:t>
            </w:r>
          </w:p>
        </w:tc>
      </w:tr>
      <w:tr>
        <w:trPr>
          <w:cantSplit/>
        </w:trPr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 quebra de página não coincide com a do modelo</w:t>
            </w:r>
          </w:p>
        </w:tc>
        <w:tc>
          <w:tcPr>
            <w:tcW w:type="dxa" w:w="64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As alturas de linha diferem, então a virada de página cai em item diferente. Não afeta o conteúdo</w:t>
            </w:r>
          </w:p>
        </w:tc>
      </w:tr>
      <w:tr>
        <w:trPr>
          <w:cantSplit/>
        </w:trPr>
        <w:tc>
          <w:tcPr>
            <w:tcW w:type="dxa" w:w="331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Um único contrato por execução</w:t>
            </w:r>
          </w:p>
        </w:tc>
        <w:tc>
          <w:tcPr>
            <w:tcW w:type="dxa" w:w="643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Envie o PDF vigente, que já incorpora os aditivos aplicáveis</w:t>
            </w:r>
          </w:p>
        </w:tc>
      </w:tr>
      <w:tr>
        <w:trPr>
          <w:cantSplit/>
        </w:trPr>
        <w:tc>
          <w:tcPr>
            <w:tcW w:type="dxa" w:w="33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As regras vieram de um único caso</w:t>
            </w:r>
          </w:p>
        </w:tc>
        <w:tc>
          <w:tcPr>
            <w:tcW w:type="dxa" w:w="64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Toda a lógica foi derivada de uma competência de um contrato. O catálogo isola boa parte da variação, mas um contrato novo pede conferência atenta na primeira execução</w:t>
            </w:r>
          </w:p>
        </w:tc>
      </w:tr>
    </w:tbl>
    <w:p>
      <w:pPr>
        <w:spacing w:after="0" w:before="0"/>
      </w:pPr>
      <w:r>
        <w:rPr>
          <w:sz w:val="10"/>
        </w:rPr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13. Perguntas frequentes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O relatório sai sempre igual?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Sim. Duas execuções com os mesmos arquivos produzem documentos idênticos, byte a byte. Não há data de geração nem identificador aleatório no conteúdo.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Posso editar o documento gerado?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Sim — é um </w:t>
      </w:r>
      <w:r>
        <w:rPr>
          <w:rFonts w:ascii="Consolas" w:hAnsi="Consolas" w:cs="Consolas"/>
          <w:b w:val="0"/>
          <w:i w:val="0"/>
          <w:color w:val="0B2235"/>
          <w:sz w:val="19"/>
        </w:rPr>
        <w:t>.docx</w:t>
      </w:r>
      <w:r>
        <w:rPr>
          <w:b w:val="0"/>
          <w:i w:val="0"/>
          <w:color w:val="0B2235"/>
          <w:sz w:val="21"/>
        </w:rPr>
        <w:t>. Foi uma das razões de escolher o formato: um documento que instrui faturamento passa por revisão, e revisar exige poder ajustar.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O sistema usa inteligência artificial?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Não. As duas entradas são geradas por sistema e legíveis por máquina, e o trabalho é correspondência exata por código de serviço. Um modelo de IA aqui traria custo, lentidão e resultado que muda entre execuções, sem resolver nada.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E se o layout da planilha mudar?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A leitura ancora em rótulo e código, nunca em posição fixa de linha. Mudanças maiores fazem a aplicação </w:t>
      </w:r>
      <w:r>
        <w:rPr>
          <w:b/>
          <w:i w:val="0"/>
          <w:color w:val="0B2235"/>
          <w:sz w:val="21"/>
        </w:rPr>
        <w:t>falhar e avisar</w:t>
      </w:r>
      <w:r>
        <w:rPr>
          <w:b w:val="0"/>
          <w:i w:val="0"/>
          <w:color w:val="0B2235"/>
          <w:sz w:val="21"/>
        </w:rPr>
        <w:t>, não produzir número errado.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Como sei que o contrato foi lido por inteiro?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O contrato declara um total ao fim da tabela de itens. A aplicação recalcula a soma e compara — é a validação </w:t>
      </w:r>
      <w:r>
        <w:rPr>
          <w:rFonts w:ascii="Consolas" w:hAnsi="Consolas" w:cs="Consolas"/>
          <w:b w:val="0"/>
          <w:i w:val="0"/>
          <w:color w:val="0B2235"/>
          <w:sz w:val="19"/>
        </w:rPr>
        <w:t>V-CTR-03</w:t>
      </w:r>
      <w:r>
        <w:rPr>
          <w:b w:val="0"/>
          <w:i w:val="0"/>
          <w:color w:val="0B2235"/>
          <w:sz w:val="21"/>
        </w:rPr>
        <w:t>. Faltando uma linha, o valor muda e o processamento é interrompido.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Preciso enviar o catálogo?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Não. Ele acompanha a aplicação e reproduz o relatório de comprovação atual. Só um contrato com apresentação diferente da do piloto exigiria outro catálogo, e isso é tratado fora da tela do dia a dia.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Por que a quantidade contratada da planilha é ignorada?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Porque a fonte da verdade é o contrato. A planilha traz uma coluna de quantidade contratada que pode estar defasada em relação a um aditivo — quando as duas discordam, o aviso </w:t>
      </w:r>
      <w:r>
        <w:rPr>
          <w:rFonts w:ascii="Consolas" w:hAnsi="Consolas" w:cs="Consolas"/>
          <w:b w:val="0"/>
          <w:i w:val="0"/>
          <w:color w:val="0B2235"/>
          <w:sz w:val="19"/>
        </w:rPr>
        <w:t>V-REC-01</w:t>
      </w:r>
      <w:r>
        <w:rPr>
          <w:b w:val="0"/>
          <w:i w:val="0"/>
          <w:color w:val="0B2235"/>
          <w:sz w:val="21"/>
        </w:rPr>
        <w:t xml:space="preserve"> registra a diferença e o relatório usa a do contrato.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O que acontece se o mesmo código aparecer mais de uma vez?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 xml:space="preserve">No contrato, as quantidades são somadas — salvo quando o catálogo traz um qualificador, e aí cada linha vira uma linha própria. Na planilha, prevalece a ocorrência </w:t>
      </w:r>
      <w:r>
        <w:rPr>
          <w:b/>
          <w:i w:val="0"/>
          <w:color w:val="0B2235"/>
          <w:sz w:val="21"/>
        </w:rPr>
        <w:t>descontada de recursos de desenvolvimento</w:t>
      </w:r>
      <w:r>
        <w:rPr>
          <w:b w:val="0"/>
          <w:i w:val="0"/>
          <w:color w:val="0B2235"/>
          <w:sz w:val="21"/>
        </w:rPr>
        <w:t>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Alguém mais vê os arquivos que eu envio?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Não há armazenamento. O serviço recebe, processa em memória, devolve e descarta — não há histórico, banco de dados nem arquivo retido no servidor.</w:t>
      </w:r>
    </w:p>
    <w:p>
      <w:pPr>
        <w:pStyle w:val="Ttulo3"/>
        <w:keepNext/>
        <w:spacing w:before="200" w:after="60"/>
      </w:pPr>
      <w:r>
        <w:rPr>
          <w:color w:val="0E3E5E"/>
          <w:sz w:val="22"/>
        </w:rPr>
        <w:t>Fechei a aba antes de baixar. E agora?</w:t>
      </w:r>
    </w:p>
    <w:p>
      <w:pPr>
        <w:spacing w:after="140" w:before="0"/>
      </w:pPr>
      <w:r>
        <w:rPr>
          <w:b w:val="0"/>
          <w:i w:val="0"/>
          <w:color w:val="0B2235"/>
          <w:sz w:val="21"/>
        </w:rPr>
        <w:t>Envie os arquivos novamente e repita a geração. Nada foi guardado, e o resultado será idêntico ao anterior.</w:t>
      </w:r>
    </w:p>
    <w:p>
      <w:pPr>
        <w:pStyle w:val="Ttulo1"/>
        <w:keepNext/>
        <w:spacing w:before="400" w:after="120"/>
        <w:pBdr>
          <w:bottom w:val="single" w:sz="8" w:space="3" w:color="FF671D"/>
        </w:pBdr>
      </w:pPr>
      <w:r>
        <w:rPr>
          <w:color w:val="0E3E5E"/>
        </w:rPr>
        <w:t>14. Glossário</w:t>
      </w:r>
    </w:p>
    <w:tbl>
      <w:tblPr>
        <w:tblW w:type="auto" w:w="0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single" w:sz="4" w:space="0" w:color="C9D8E0"/>
          <w:insideV w:val="single" w:sz="4" w:space="0" w:color="C9D8E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536"/>
        <w:gridCol w:w="7216"/>
      </w:tblGrid>
      <w:tr>
        <w:trPr>
          <w:tblHeader/>
          <w:cantSplit/>
        </w:trPr>
        <w:tc>
          <w:tcPr>
            <w:tcW w:type="dxa" w:w="253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Termo</w:t>
            </w:r>
          </w:p>
        </w:tc>
        <w:tc>
          <w:tcPr>
            <w:tcW w:type="dxa" w:w="7216"/>
            <w:shd w:val="clear" w:color="auto" w:fill="0E3E5E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Significado neste sistema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Competência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O mês a que a medição se refere — por exemplo, julho/2026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Contratada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Quantidade prevista no contrato, extraída da tabela de itens do PDF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Medida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 xml:space="preserve">Quantidade efetivamente apurada no período, lida da aba </w:t>
            </w: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Levantamento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Saldo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B2235"/>
                <w:sz w:val="16"/>
              </w:rPr>
              <w:t>contratada − medida</w:t>
            </w:r>
            <w:r>
              <w:rPr>
                <w:b w:val="0"/>
                <w:i w:val="0"/>
                <w:color w:val="0B2235"/>
                <w:sz w:val="18"/>
              </w:rPr>
              <w:t>. Negativo significa consumo acima do contratado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Divergência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Item em que a quantidade contratada difere da medida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Item crítico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Item medido acima do contratado — consumo sem cobertura contratual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Sem previsão contratual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Item medido que não consta da tabela de itens do contrato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Catálogo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Definição embutida da apresentação do relatório: seções, ordem e formatação. Não participa da comparação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Relatório de comprovação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A tabela das páginas 2 e 3 do documento — o que instrui o faturamento</w:t>
            </w:r>
          </w:p>
        </w:tc>
      </w:tr>
      <w:tr>
        <w:trPr>
          <w:cantSplit/>
        </w:trPr>
        <w:tc>
          <w:tcPr>
            <w:tcW w:type="dxa" w:w="253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Anexo de detalhamento</w:t>
            </w:r>
          </w:p>
        </w:tc>
        <w:tc>
          <w:tcPr>
            <w:tcW w:type="dxa" w:w="7216"/>
            <w:shd w:val="clear" w:color="auto" w:fill="F4F7F8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Uma aba da planilha impressa no documento, mostrando de onde a quantidade medida veio</w:t>
            </w:r>
          </w:p>
        </w:tc>
      </w:tr>
      <w:tr>
        <w:trPr>
          <w:cantSplit/>
        </w:trPr>
        <w:tc>
          <w:tcPr>
            <w:tcW w:type="dxa" w:w="2536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B2235"/>
                <w:sz w:val="18"/>
              </w:rPr>
              <w:t>Perfil ou pacote</w:t>
            </w:r>
          </w:p>
        </w:tc>
        <w:tc>
          <w:tcPr>
            <w:tcW w:type="dxa" w:w="7216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B2235"/>
                <w:sz w:val="18"/>
              </w:rPr>
              <w:t>Item que conta por unidade contratual e entra sempre como 1/1, independentemente do conteúdo da planilha</w:t>
            </w:r>
          </w:p>
        </w:tc>
      </w:tr>
    </w:tbl>
    <w:p>
      <w:pPr>
        <w:spacing w:after="0" w:before="0"/>
      </w:pPr>
      <w:r>
        <w:rPr>
          <w:sz w:val="10"/>
        </w:rPr>
      </w:r>
    </w:p>
    <w:sectPr w:rsidR="007556CA" w:rsidRPr="00CD4B17" w:rsidSect="00D12E6C">
      <w:pgSz w:w="11906" w:h="16838"/>
      <w:pgMar w:top="1985" w:right="1077" w:bottom="1440" w:left="1077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5551" w14:textId="77777777" w:rsidR="00C32E31" w:rsidRDefault="00C32E31" w:rsidP="009509EB">
      <w:pPr>
        <w:spacing w:after="0" w:line="240" w:lineRule="auto"/>
      </w:pPr>
      <w:r>
        <w:separator/>
      </w:r>
    </w:p>
  </w:endnote>
  <w:endnote w:type="continuationSeparator" w:id="0">
    <w:p w14:paraId="35B1C584" w14:textId="77777777" w:rsidR="00C32E31" w:rsidRDefault="00C32E31" w:rsidP="00950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F23C01-EC4F-4D09-9C9A-B70D50D0EF43}"/>
    <w:embedBold r:id="rId2" w:fontKey="{D43D5D0E-61A8-44B2-BDFE-73F10D32C297}"/>
    <w:embedItalic r:id="rId3" w:fontKey="{6E120E42-D067-4154-AF1C-5BA7D00D6D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rabolica Test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3" w:csb1="00000000"/>
  </w:font>
  <w:font w:name="Exo 2">
    <w:altName w:val="Calibri"/>
    <w:charset w:val="00"/>
    <w:family w:val="auto"/>
    <w:pitch w:val="variable"/>
    <w:sig w:usb0="A00002FF" w:usb1="4200204B" w:usb2="00000000" w:usb3="00000000" w:csb0="00000197" w:csb1="00000000"/>
    <w:embedRegular r:id="rId4" w:fontKey="{7F890243-D72D-4091-ACFE-1D540891EC76}"/>
    <w:embedBold r:id="rId5" w:fontKey="{6EB5C475-9AB4-432D-B218-C631E39FCEB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2D0A602-5BCB-4B78-9CFE-DA513D226C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A7D1266-1F9E-4B99-8060-EF57389F3F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5B14" w14:textId="3FBFF8A1" w:rsidR="009509EB" w:rsidRDefault="009509EB">
    <w:pPr>
      <w:pStyle w:val="Rodap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2B206F0" wp14:editId="683D5BB1">
          <wp:simplePos x="0" y="0"/>
          <wp:positionH relativeFrom="page">
            <wp:posOffset>8890</wp:posOffset>
          </wp:positionH>
          <wp:positionV relativeFrom="paragraph">
            <wp:posOffset>-128814</wp:posOffset>
          </wp:positionV>
          <wp:extent cx="7551930" cy="799616"/>
          <wp:effectExtent l="0" t="0" r="0" b="635"/>
          <wp:wrapNone/>
          <wp:docPr id="39535872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58727" name="Imagem 7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930" cy="799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CE90" w14:textId="77777777" w:rsidR="00C32E31" w:rsidRDefault="00C32E31" w:rsidP="009509EB">
      <w:pPr>
        <w:spacing w:after="0" w:line="240" w:lineRule="auto"/>
      </w:pPr>
      <w:r>
        <w:separator/>
      </w:r>
    </w:p>
  </w:footnote>
  <w:footnote w:type="continuationSeparator" w:id="0">
    <w:p w14:paraId="2EBE3FC8" w14:textId="77777777" w:rsidR="00C32E31" w:rsidRDefault="00C32E31" w:rsidP="00950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56C4" w14:textId="5329F71F" w:rsidR="00D12E6C" w:rsidRDefault="00D12E6C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0BFA3203" wp14:editId="6B57BB1A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538060" cy="1634301"/>
          <wp:effectExtent l="0" t="0" r="6350" b="0"/>
          <wp:wrapNone/>
          <wp:docPr id="7503160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316036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060" cy="1634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8A"/>
    <w:rsid w:val="00014549"/>
    <w:rsid w:val="0003221C"/>
    <w:rsid w:val="00042213"/>
    <w:rsid w:val="00044F60"/>
    <w:rsid w:val="0011344E"/>
    <w:rsid w:val="001921A7"/>
    <w:rsid w:val="00194C5D"/>
    <w:rsid w:val="00277F8B"/>
    <w:rsid w:val="002C24AB"/>
    <w:rsid w:val="003A10AD"/>
    <w:rsid w:val="003B6C01"/>
    <w:rsid w:val="0041416E"/>
    <w:rsid w:val="00437014"/>
    <w:rsid w:val="0045551F"/>
    <w:rsid w:val="004E31CC"/>
    <w:rsid w:val="00512803"/>
    <w:rsid w:val="005F2B71"/>
    <w:rsid w:val="006201E1"/>
    <w:rsid w:val="0073712D"/>
    <w:rsid w:val="00753E9F"/>
    <w:rsid w:val="007556CA"/>
    <w:rsid w:val="007B18BC"/>
    <w:rsid w:val="00821600"/>
    <w:rsid w:val="008643D7"/>
    <w:rsid w:val="00865753"/>
    <w:rsid w:val="008873C2"/>
    <w:rsid w:val="008C3C21"/>
    <w:rsid w:val="008E1F1D"/>
    <w:rsid w:val="008E23F0"/>
    <w:rsid w:val="008F672F"/>
    <w:rsid w:val="009509EB"/>
    <w:rsid w:val="00A13C75"/>
    <w:rsid w:val="00B178BC"/>
    <w:rsid w:val="00B4059D"/>
    <w:rsid w:val="00B63A64"/>
    <w:rsid w:val="00C32E31"/>
    <w:rsid w:val="00C60EA3"/>
    <w:rsid w:val="00CD4B17"/>
    <w:rsid w:val="00CD6D87"/>
    <w:rsid w:val="00CE7E54"/>
    <w:rsid w:val="00CF4834"/>
    <w:rsid w:val="00D12E6C"/>
    <w:rsid w:val="00D91F9C"/>
    <w:rsid w:val="00DB18DC"/>
    <w:rsid w:val="00E22E41"/>
    <w:rsid w:val="00E41877"/>
    <w:rsid w:val="00E57D03"/>
    <w:rsid w:val="00F91F8A"/>
    <w:rsid w:val="00FC23C1"/>
    <w:rsid w:val="00FC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F135B"/>
  <w15:chartTrackingRefBased/>
  <w15:docId w15:val="{B08A4321-3549-4206-9515-13BB7227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0AD"/>
    <w:rPr>
      <w:rFonts w:ascii="Parabolica Test" w:hAnsi="Parabolica Test"/>
    </w:rPr>
  </w:style>
  <w:style w:type="paragraph" w:styleId="Ttulo1">
    <w:name w:val="heading 1"/>
    <w:basedOn w:val="Normal"/>
    <w:next w:val="Normal"/>
    <w:link w:val="Ttulo1Char"/>
    <w:uiPriority w:val="9"/>
    <w:qFormat/>
    <w:rsid w:val="003A10AD"/>
    <w:pPr>
      <w:keepNext/>
      <w:keepLines/>
      <w:spacing w:before="360" w:after="80"/>
      <w:outlineLvl w:val="0"/>
    </w:pPr>
    <w:rPr>
      <w:rFonts w:ascii="Exo 2" w:eastAsiaTheme="majorEastAsia" w:hAnsi="Exo 2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10AD"/>
    <w:pPr>
      <w:keepNext/>
      <w:keepLines/>
      <w:spacing w:before="160" w:after="80"/>
      <w:outlineLvl w:val="1"/>
    </w:pPr>
    <w:rPr>
      <w:rFonts w:ascii="Exo 2" w:eastAsiaTheme="majorEastAsia" w:hAnsi="Exo 2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0AD"/>
    <w:rPr>
      <w:rFonts w:ascii="Exo 2" w:eastAsiaTheme="majorEastAsia" w:hAnsi="Exo 2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A10AD"/>
    <w:rPr>
      <w:rFonts w:ascii="Exo 2" w:eastAsiaTheme="majorEastAsia" w:hAnsi="Exo 2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F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F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F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rsid w:val="00F9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F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F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F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F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F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09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09EB"/>
  </w:style>
  <w:style w:type="paragraph" w:styleId="Rodap">
    <w:name w:val="footer"/>
    <w:basedOn w:val="Normal"/>
    <w:link w:val="RodapChar"/>
    <w:uiPriority w:val="99"/>
    <w:unhideWhenUsed/>
    <w:rsid w:val="009509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09EB"/>
  </w:style>
  <w:style w:type="paragraph" w:styleId="SemEspaamento">
    <w:name w:val="No Spacing"/>
    <w:uiPriority w:val="1"/>
    <w:rsid w:val="003A10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11d125-3d04-4ec0-a7cc-b3b077c213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0CA6EC5D3FC47AF98F602FA96C6B0" ma:contentTypeVersion="9" ma:contentTypeDescription="Create a new document." ma:contentTypeScope="" ma:versionID="32a80b5d70913e3a3e47002550cfec30">
  <xsd:schema xmlns:xsd="http://www.w3.org/2001/XMLSchema" xmlns:xs="http://www.w3.org/2001/XMLSchema" xmlns:p="http://schemas.microsoft.com/office/2006/metadata/properties" xmlns:ns3="4811d125-3d04-4ec0-a7cc-b3b077c213b7" targetNamespace="http://schemas.microsoft.com/office/2006/metadata/properties" ma:root="true" ma:fieldsID="82addd20f6cabaa41aa75346ddddc31c" ns3:_="">
    <xsd:import namespace="4811d125-3d04-4ec0-a7cc-b3b077c213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1d125-3d04-4ec0-a7cc-b3b077c213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DA7DC-81EE-42CC-A24A-66981E2835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6A4F2D-57E9-43A4-97FF-AF11BE06C632}">
  <ds:schemaRefs>
    <ds:schemaRef ds:uri="http://schemas.microsoft.com/office/2006/metadata/properties"/>
    <ds:schemaRef ds:uri="http://schemas.microsoft.com/office/infopath/2007/PartnerControls"/>
    <ds:schemaRef ds:uri="4811d125-3d04-4ec0-a7cc-b3b077c213b7"/>
  </ds:schemaRefs>
</ds:datastoreItem>
</file>

<file path=customXml/itemProps3.xml><?xml version="1.0" encoding="utf-8"?>
<ds:datastoreItem xmlns:ds="http://schemas.openxmlformats.org/officeDocument/2006/customXml" ds:itemID="{B98BA165-9FA1-4C64-835A-F994ACBCD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1d125-3d04-4ec0-a7cc-b3b077c21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398df9c-fd0c-4829-a003-c770a1c4a063}" enabled="0" method="" siteId="{f398df9c-fd0c-4829-a003-c770a1c4a0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Sabino Zeferino</dc:creator>
  <cp:keywords/>
  <dc:description/>
  <cp:lastModifiedBy>Joaquim Ferreira Filho</cp:lastModifiedBy>
  <cp:revision>12</cp:revision>
  <cp:lastPrinted>2026-07-14T18:47:00Z</cp:lastPrinted>
  <dcterms:created xsi:type="dcterms:W3CDTF">2026-07-17T16:41:00Z</dcterms:created>
  <dcterms:modified xsi:type="dcterms:W3CDTF">2026-08-06T10:12:00Z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0x0101009120CA6EC5D3FC47AF98F602FA96C6B0</vt:lpwstr>
  </property>
</Properties>
</file>