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Classificacao da Gravidade da Acne Facial Utilizando ResNet-18 Sensivel a Regiao com Embeddings Anatomicos</w:t>
      </w:r>
    </w:p>
    <w:p>
      <w:pPr>
        <w:jc w:val="center"/>
      </w:pPr>
      <w:r>
        <w:rPr>
          <w:sz w:val="22"/>
        </w:rPr>
        <w:t>Lucas Gonzaga Andrade</w:t>
        <w:br/>
        <w:t>Roger Moura Sarmento</w:t>
        <w:br/>
        <w:t>Instituto Federal de Educacao, Ciencia e Tecnologia do Ceara (IFCE) — Fortaleza, CE</w:t>
      </w:r>
    </w:p>
    <w:p>
      <w:pPr>
        <w:pStyle w:val="Heading1"/>
      </w:pPr>
      <w:r>
        <w:t>Resumo</w:t>
      </w:r>
    </w:p>
    <w:p>
      <w:r>
        <w:t>A acne vulgar e uma das dermatoses mais prevalentes, e a avaliacao de sua gravidade continua dependente de inspecao clinica subjetiva. Este trabalho propoe uma arquitetura Region-Aware ResNet-18 para classificacao automatica em quatro niveis de gravidade a partir de recortes de regioes faciais. Regioes sao extraidas com YOLOv8 e classificadas por um unico backbone ResNet-18 enriquecido com embeddings aprendiveis (testa, queixo, nariz e bochechas). O modelo foi treinado com dados combinados dos corpora Acne04 e Acne Level, utilizando aumento de dados e cross-entropy ponderada. Em 1.090 recortes de teste, obteve-se 95,2% de acuracia e F1-score ponderado de 0,95, com desempenho consistente entre regioes (F1 &gt;= 0,93). Um prototipo Flutter ilustra integracao em teledermatologia, embora a inferencia em dispositivo ainda nao esteja implementada.</w:t>
      </w:r>
    </w:p>
    <w:p>
      <w:r>
        <w:t>Palavras-chave: acne vulgar; aprendizado profundo; ResNet-18; teledermatologia; visao computacional.</w:t>
      </w:r>
    </w:p>
    <w:p>
      <w:pPr>
        <w:pStyle w:val="Heading1"/>
      </w:pPr>
      <w:r>
        <w:t>1. Introducao</w:t>
      </w:r>
    </w:p>
    <w:p>
      <w:r>
        <w:t>A avaliacao da gravidade da acne exige experiencia clinica e apresenta variabilidade inter-observador. Solucoes baseadas em multiplos estagios — deteccao de lesoes seguida de classificacao — aumentam custo computacional e propagam erros. Propomos um classificador unificado que recebe recortes de regiao facial e um identificador anatomico, preservando contexto regional com baixa complexidade.</w:t>
      </w:r>
    </w:p>
    <w:p>
      <w:pPr>
        <w:pStyle w:val="Heading1"/>
      </w:pPr>
      <w:r>
        <w:t>2. Materiais e Metodos</w:t>
      </w:r>
    </w:p>
    <w:p>
      <w:pPr>
        <w:pStyle w:val="Heading2"/>
      </w:pPr>
      <w:r>
        <w:t>2.1 Dados e pre-processamento</w:t>
      </w:r>
    </w:p>
    <w:p>
      <w:r>
        <w:t>Utilizamos dois corpora publicos: Acne04 (acne_1024, 1.406 imagens) e Acne Level (Dataset/, 1.457 imagens), com quatro niveis de gravidade (0–3). As imagens foram consolidadas, segmentadas com YOLOv8 em cinco regioes faciais e divididas em treino/validacao/teste (70/15/15). Cada regiao detectada foi redimensionada para 224x224.</w:t>
      </w:r>
    </w:p>
    <w:p>
      <w:r>
        <w:drawing>
          <wp:inline xmlns:a="http://schemas.openxmlformats.org/drawingml/2006/main" xmlns:pic="http://schemas.openxmlformats.org/drawingml/2006/picture">
            <wp:extent cx="5669280" cy="3843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3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 – Visao geral do pipeline: aquisicao, segmentacao YOLOv8, classificacao e prototipo movel.</w:t>
      </w:r>
    </w:p>
    <w:p>
      <w:pPr>
        <w:pStyle w:val="Heading2"/>
      </w:pPr>
      <w:r>
        <w:t>2.2 Arquitetura Region-Aware ResNet-18</w:t>
      </w:r>
    </w:p>
    <w:p>
      <w:r>
        <w:t>A ResNet-18 extrai features visuais (512 dimensoes), concatenadas a um embedding aprendivel de 64 dimensoes da regiao facial. Um classificador fully connected com BatchNorm e Dropout produz quatro logits de gravidade. O backbone foi treinado do zero (sem pesos ImageNet).</w:t>
      </w:r>
    </w:p>
    <w:p>
      <w:r>
        <w:drawing>
          <wp:inline xmlns:a="http://schemas.openxmlformats.org/drawingml/2006/main" xmlns:pic="http://schemas.openxmlformats.org/drawingml/2006/picture">
            <wp:extent cx="5303520" cy="1906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06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 – Arquitetura Region-Aware ResNet-18.</w:t>
      </w:r>
    </w:p>
    <w:p>
      <w:pPr>
        <w:pStyle w:val="Heading2"/>
      </w:pPr>
      <w:r>
        <w:t>2.3 Treinamento</w:t>
      </w:r>
    </w:p>
    <w:p>
      <w:r>
        <w:t>Framework PyTorch; otimizador Adam (lr = 0,0001); cross-entropy ponderada; batch 16; 40 epocas maximas; ReduceLROnPlateau; early stopping. Augmentations: flip horizontal, rotacao (±25°), color jitter, blur gaussiano e random erasing.</w:t>
      </w:r>
    </w:p>
    <w:p>
      <w:pPr>
        <w:pStyle w:val="Heading1"/>
      </w:pPr>
      <w:r>
        <w:t>3. Resultados</w:t>
      </w:r>
    </w:p>
    <w:p>
      <w:r>
        <w:t>Tabela 1 resume as metricas globais no conjunto de teste (1.090 recortes). A acuracia foi de 95,2% e o F1-score ponderado de 0,95. A maioria dos erros ocorreu entre classes adjacentes (1 e 2). Por regiao, os F1-scores ponderados foram: testa 0,99; queixo 0,93; nariz 0,97; bochecha esquerda 0,93; bochecha direita 0,96.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Classe</w:t>
            </w:r>
          </w:p>
        </w:tc>
        <w:tc>
          <w:tcPr>
            <w:tcW w:type="dxa" w:w="1881"/>
          </w:tcPr>
          <w:p>
            <w:r>
              <w:t>Precision</w:t>
            </w:r>
          </w:p>
        </w:tc>
        <w:tc>
          <w:tcPr>
            <w:tcW w:type="dxa" w:w="1881"/>
          </w:tcPr>
          <w:p>
            <w:r>
              <w:t>Recall</w:t>
            </w:r>
          </w:p>
        </w:tc>
        <w:tc>
          <w:tcPr>
            <w:tcW w:type="dxa" w:w="1881"/>
          </w:tcPr>
          <w:p>
            <w:r>
              <w:t>F1</w:t>
            </w:r>
          </w:p>
        </w:tc>
        <w:tc>
          <w:tcPr>
            <w:tcW w:type="dxa" w:w="1881"/>
          </w:tcPr>
          <w:p>
            <w:r>
              <w:t>Support</w:t>
            </w:r>
          </w:p>
        </w:tc>
      </w:tr>
      <w:tr>
        <w:tc>
          <w:tcPr>
            <w:tcW w:type="dxa" w:w="1881"/>
          </w:tcPr>
          <w:p>
            <w:r>
              <w:t>0</w:t>
            </w:r>
          </w:p>
        </w:tc>
        <w:tc>
          <w:tcPr>
            <w:tcW w:type="dxa" w:w="1881"/>
          </w:tcPr>
          <w:p>
            <w:r>
              <w:t>0,96</w:t>
            </w:r>
          </w:p>
        </w:tc>
        <w:tc>
          <w:tcPr>
            <w:tcW w:type="dxa" w:w="1881"/>
          </w:tcPr>
          <w:p>
            <w:r>
              <w:t>0,95</w:t>
            </w:r>
          </w:p>
        </w:tc>
        <w:tc>
          <w:tcPr>
            <w:tcW w:type="dxa" w:w="1881"/>
          </w:tcPr>
          <w:p>
            <w:r>
              <w:t>0,95</w:t>
            </w:r>
          </w:p>
        </w:tc>
        <w:tc>
          <w:tcPr>
            <w:tcW w:type="dxa" w:w="1881"/>
          </w:tcPr>
          <w:p>
            <w:r>
              <w:t>318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0,94</w:t>
            </w:r>
          </w:p>
        </w:tc>
        <w:tc>
          <w:tcPr>
            <w:tcW w:type="dxa" w:w="1881"/>
          </w:tcPr>
          <w:p>
            <w:r>
              <w:t>0,94</w:t>
            </w:r>
          </w:p>
        </w:tc>
        <w:tc>
          <w:tcPr>
            <w:tcW w:type="dxa" w:w="1881"/>
          </w:tcPr>
          <w:p>
            <w:r>
              <w:t>0,94</w:t>
            </w:r>
          </w:p>
        </w:tc>
        <w:tc>
          <w:tcPr>
            <w:tcW w:type="dxa" w:w="1881"/>
          </w:tcPr>
          <w:p>
            <w:r>
              <w:t>412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0,88</w:t>
            </w:r>
          </w:p>
        </w:tc>
        <w:tc>
          <w:tcPr>
            <w:tcW w:type="dxa" w:w="1881"/>
          </w:tcPr>
          <w:p>
            <w:r>
              <w:t>0,92</w:t>
            </w:r>
          </w:p>
        </w:tc>
        <w:tc>
          <w:tcPr>
            <w:tcW w:type="dxa" w:w="1881"/>
          </w:tcPr>
          <w:p>
            <w:r>
              <w:t>0,90</w:t>
            </w:r>
          </w:p>
        </w:tc>
        <w:tc>
          <w:tcPr>
            <w:tcW w:type="dxa" w:w="1881"/>
          </w:tcPr>
          <w:p>
            <w:r>
              <w:t>110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1,00</w:t>
            </w:r>
          </w:p>
        </w:tc>
        <w:tc>
          <w:tcPr>
            <w:tcW w:type="dxa" w:w="1881"/>
          </w:tcPr>
          <w:p>
            <w:r>
              <w:t>1,00</w:t>
            </w:r>
          </w:p>
        </w:tc>
        <w:tc>
          <w:tcPr>
            <w:tcW w:type="dxa" w:w="1881"/>
          </w:tcPr>
          <w:p>
            <w:r>
              <w:t>1,00</w:t>
            </w:r>
          </w:p>
        </w:tc>
        <w:tc>
          <w:tcPr>
            <w:tcW w:type="dxa" w:w="1881"/>
          </w:tcPr>
          <w:p>
            <w:r>
              <w:t>250</w:t>
            </w:r>
          </w:p>
        </w:tc>
      </w:tr>
      <w:tr>
        <w:tc>
          <w:tcPr>
            <w:tcW w:type="dxa" w:w="1881"/>
          </w:tcPr>
          <w:p>
            <w:r>
              <w:t>Media pond.</w:t>
            </w:r>
          </w:p>
        </w:tc>
        <w:tc>
          <w:tcPr>
            <w:tcW w:type="dxa" w:w="1881"/>
          </w:tcPr>
          <w:p>
            <w:r>
              <w:t>0,95</w:t>
            </w:r>
          </w:p>
        </w:tc>
        <w:tc>
          <w:tcPr>
            <w:tcW w:type="dxa" w:w="1881"/>
          </w:tcPr>
          <w:p>
            <w:r>
              <w:t>0,95</w:t>
            </w:r>
          </w:p>
        </w:tc>
        <w:tc>
          <w:tcPr>
            <w:tcW w:type="dxa" w:w="1881"/>
          </w:tcPr>
          <w:p>
            <w:r>
              <w:t>0,95</w:t>
            </w:r>
          </w:p>
        </w:tc>
        <w:tc>
          <w:tcPr>
            <w:tcW w:type="dxa" w:w="1881"/>
          </w:tcPr>
          <w:p>
            <w:r>
              <w:t>1090</w:t>
            </w:r>
          </w:p>
        </w:tc>
      </w:tr>
    </w:tbl>
    <w:p>
      <w:pPr>
        <w:jc w:val="center"/>
      </w:pPr>
      <w:r>
        <w:t>Tabela 1 – Desempenho global no conjunto de teste.</w:t>
      </w:r>
    </w:p>
    <w:p>
      <w:r>
        <w:drawing>
          <wp:inline xmlns:a="http://schemas.openxmlformats.org/drawingml/2006/main" xmlns:pic="http://schemas.openxmlformats.org/drawingml/2006/picture">
            <wp:extent cx="5669280" cy="2473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confusion_matrix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 – Matriz de confusao: contagens absolutas (esquerda) e percentuais normalizados (direita). Labels em ingles conforme solicitacao.</w:t>
      </w:r>
    </w:p>
    <w:p>
      <w:r>
        <w:t>Analise de estabilidade com 30 execucoes e perturbacoes leves reportou acuracia media de 94,41% (desvio-padrao 0,46%), indicando robustez operacional.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 – Distribuicao da acuracia em 30 avaliacoes de robustez.</w:t>
      </w:r>
    </w:p>
    <w:p>
      <w:pPr>
        <w:pStyle w:val="Heading1"/>
      </w:pPr>
      <w:r>
        <w:t>4. Prototipo movel</w:t>
      </w:r>
    </w:p>
    <w:p>
      <w:r>
        <w:t>Desenvolvemos um aplicativo Flutter para captura de imagens e fluxo de teledermatologia. A inferencia automatica ainda nao esta integrada; o prototipo demonstra viabilidade de interface, nao validacao clinica.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5 – Prototipo movel de teledermatologia.</w:t>
      </w:r>
    </w:p>
    <w:p>
      <w:pPr>
        <w:pStyle w:val="Heading1"/>
      </w:pPr>
      <w:r>
        <w:t>5. Conclusao</w:t>
      </w:r>
    </w:p>
    <w:p>
      <w:r>
        <w:t>A arquitetura Region-Aware ResNet-18 classificou a gravidade da acne com 95,2% de acuracia em recortes regionais, mantendo desempenho estavel entre regioes faciais. Trabalhos futuros incluem calibracao de confianca, validacao externa, inferencia em dispositivo movel e maior diversidade de fototipos.</w:t>
      </w:r>
    </w:p>
    <w:p>
      <w:pPr>
        <w:pStyle w:val="Heading1"/>
      </w:pPr>
      <w:r>
        <w:t>Referencias</w:t>
      </w:r>
    </w:p>
    <w:p>
      <w:r>
        <w:t>[1] S. P. Choy et al., Systematic review of deep learning image analyses for skin disease, npj Digital Medicine, 2023.</w:t>
      </w:r>
    </w:p>
    <w:p>
      <w:r>
        <w:t>[2] Q. T. Huynh et al., Automatic acne detection and severity grading, Diagnostics, 2022.</w:t>
      </w:r>
    </w:p>
    <w:p>
      <w:r>
        <w:t>[3] Y. Lin et al., KIEGLFN: unified acne grading framework, CMPB, 2022.</w:t>
      </w:r>
    </w:p>
    <w:p>
      <w:r>
        <w:t>[4] K. He et al., Deep residual learning for image recognition, CVPR, 2016.</w:t>
      </w:r>
    </w:p>
    <w:p>
      <w:r>
        <w:t>[5] N. Hayashi et al., Acne severity grading system, Journal of Dermatology, 2008.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