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Ordem de Serviço é um documento no qual se formaliza o trabalho que será prestado a um cliente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Linha de montagem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 de montagem das placas, componentes e soldagem de cabos.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Específica o processo de manufatura de acordo com a OS recebida.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Garantindo que todas as etapas tenham os recursos necessários para montagem.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qualidade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 na avaliação da qualidade das peças. O controle de qualidade garante que a cada etapa do processo foi devidamente cumprida mantendo os parâmetros de qualidade e funcionamento.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Ao final da linha de montagem, o produto final é designado a um funcionário específico para que teste a validade e o funcionamento do componente.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Análise do estoque para certificar de que todas as peças dos serviços solicitados estejam disponíveis.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Inspeção para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Realiza-se a contagem das peças, comparando com a OS, para ver se as quantidades estão dentro do estabelecido. Tornando o lote pronto ou não para a entrega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