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da ineficiência na execução dos processos gerenciais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o proprietário, funcionários e clientes da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</w:t>
      </w:r>
      <w:r w:rsidDel="00000000" w:rsidR="00000000" w:rsidRPr="00000000">
        <w:rPr>
          <w:sz w:val="24"/>
          <w:szCs w:val="24"/>
          <w:rtl w:val="0"/>
        </w:rPr>
        <w:t xml:space="preserve"> aos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atrasos nas entregas, realização de horas extras, retrabalho e pagamento de multas.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deste novo Sistema de GS-Megazord, são: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Incorporação do controle, agilidade e a eficácia dos processos da </w:t>
      </w:r>
      <w:r w:rsidDel="00000000" w:rsidR="00000000" w:rsidRPr="00000000">
        <w:rPr>
          <w:sz w:val="24"/>
          <w:szCs w:val="24"/>
          <w:rtl w:val="0"/>
        </w:rPr>
        <w:t xml:space="preserve">Simplac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no tempo de entrega e andamento dos serviços.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da autonomia dos funcionários e sua satisfação.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monitorar os recursos disponíveis para a produção.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na obtenção dos dados para projeção de crescimento da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