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5337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932692"/>
                          <a:ext cx="5467350" cy="3533775"/>
                          <a:chOff x="1123950" y="932692"/>
                          <a:chExt cx="5452098" cy="3213750"/>
                        </a:xfrm>
                      </wpg:grpSpPr>
                      <wpg:grpSp>
                        <wpg:cNvGrpSpPr/>
                        <wpg:grpSpPr>
                          <a:xfrm>
                            <a:off x="4907148" y="1354505"/>
                            <a:ext cx="1668900" cy="1596448"/>
                            <a:chOff x="3402169" y="1221075"/>
                            <a:chExt cx="1668900" cy="14649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578127" y="1456876"/>
                              <a:ext cx="1317000" cy="99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Problemas com os processos primários, de suporte e gerenciais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648000" y="2219325"/>
                            <a:ext cx="1317099" cy="1646617"/>
                            <a:chOff x="3648000" y="2219325"/>
                            <a:chExt cx="1317099" cy="1646617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 rot="-3222597">
                              <a:off x="3601022" y="2842237"/>
                              <a:ext cx="1428853" cy="562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Inexistência de monitoramento de produtividade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flipH="1" rot="3223144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Relatórios de manufaturas não fazem parte da cultura da empresa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Ausência de recursos e oportunidade para a implementação de um sistema gerenciador 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5337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533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