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Coordenador / Sócio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GS Megazord, para: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a gestão recursos e produtividade;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a gestão e controle de produção e manufatura;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novas solicitações e demanda de pedidos.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Realizar apuração de prospectivos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Coordenador / Sócio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Irá realizar a  especificação e detalhamento inicial do novo sistema de GS Megazord.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Realizará  a gestão de recursos e produtividade solicitados pelo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Serão afetados pela implantação do novo sistema GS Megazord.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zSmm9zco5t5C3RAht0vNALBG+A==">AMUW2mXMgWzwG240ODijsPSeGWUHUg0NsO1+7YBOd8qD1UuLT8M+m9Znd+5NXnx/dObOdPJ++HZXhGoo8+kRWvaCA0U8fVQEY27+5OhBLMj1jMN/Zmn0DemRNccq/EQQAdrF4z4IEVYF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2020-04-06T23:32:00Z</dcterms:created>
</cp:coreProperties>
</file>