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46A5" w14:textId="37791F6C" w:rsidR="001E397C" w:rsidRDefault="001E397C"/>
    <w:p w14:paraId="5E9C5A4C" w14:textId="77777777" w:rsidR="00950C19" w:rsidRPr="00950C19" w:rsidRDefault="00950C19" w:rsidP="00950C19"/>
    <w:p w14:paraId="69FDD723" w14:textId="77777777" w:rsidR="00950C19" w:rsidRPr="00950C19" w:rsidRDefault="00950C19" w:rsidP="00950C19"/>
    <w:p w14:paraId="2AC34F72" w14:textId="77777777" w:rsidR="00950C19" w:rsidRDefault="00950C19" w:rsidP="00950C19"/>
    <w:p w14:paraId="1C3EE7BC" w14:textId="77777777" w:rsidR="00950C19" w:rsidRPr="00950C19" w:rsidRDefault="00950C19" w:rsidP="00950C19">
      <w:pPr>
        <w:jc w:val="center"/>
      </w:pPr>
    </w:p>
    <w:p>
      <w:pPr>
        <w:spacing w:after="800"/>
      </w:pPr>
      <w:r/>
    </w:p>
    <w:p>
      <w:pPr>
        <w:spacing w:after="800"/>
      </w:pPr>
      <w:r/>
    </w:p>
    <w:p>
      <w:pPr>
        <w:spacing w:after="80"/>
        <w:jc w:val="center"/>
      </w:pPr>
      <w:r>
        <w:rPr>
          <w:b/>
          <w:color w:val="212529"/>
          <w:sz w:val="56"/>
        </w:rPr>
        <w:t>Caso de Teste CAOS</w:t>
      </w:r>
    </w:p>
    <w:p>
      <w:pPr>
        <w:spacing w:after="800"/>
        <w:jc w:val="center"/>
      </w:pPr>
      <w:r>
        <w:rPr>
          <w:b/>
          <w:color w:val="212529"/>
          <w:sz w:val="56"/>
        </w:rPr>
        <w:t>02</w:t>
      </w:r>
    </w:p>
    <w:p>
      <w:pPr>
        <w:spacing w:after="320"/>
        <w:jc w:val="both"/>
      </w:pPr>
      <w:r>
        <w:rPr>
          <w:b/>
          <w:color w:val="212529"/>
          <w:sz w:val="22"/>
        </w:rPr>
        <w:t xml:space="preserve">Objetivo: </w:t>
      </w:r>
      <w:r>
        <w:rPr>
          <w:color w:val="212529"/>
          <w:sz w:val="22"/>
        </w:rPr>
        <w:t>Validar a implementação da arquitetura Dual-Layer do CAOS, compreendendo a separação de responsabilidades entre o Oracle (motor de raciocínio cognitivo com fusão híbrida Código+LLM) e o CAOS Verifier (auditor independente com checklist programático e LLM Deep Audit). O teste visa confirmar o funcionamento completo do fluxo cognitivo, incluindo a avaliação de risco multidimensional (R_F, R_Fin, R_C, R_K), a emissão de vereditos baseados na fómula de Score Dual-Layer e, fundamentalmente, a eficácia do Feedback Loop onde o Verifier rejeita decisões subestimadas e retroalimenta o Oracle para correções autônomas, aplicando também ajustes de risco (ex: violações LOTO e contratuais) quando necessário.</w:t>
      </w:r>
    </w:p>
    <w:p>
      <w:pPr>
        <w:spacing w:after="320"/>
        <w:jc w:val="both"/>
      </w:pPr>
      <w:r>
        <w:rPr>
          <w:b/>
          <w:color w:val="212529"/>
          <w:sz w:val="22"/>
        </w:rPr>
        <w:t xml:space="preserve">Análise: </w:t>
      </w:r>
      <w:r>
        <w:rPr>
          <w:color w:val="212529"/>
          <w:sz w:val="22"/>
        </w:rPr>
        <w:t>A execução das baterias sistêmicas (ex: demo_verifier_feedback_test, demo_freezer_caos_test) atestou a plenitude do comportamento desejado. O Oracle demonstrou sucesso na investigação em camadas, identificando causas raízes operacionais (ex: excesso de aberturas de porta) e mitigando chamados técnicos desnecessários com a ação OBSERVE. Em paralelo, a persona auditora do CAOS Verifier cumpriu seu papel com precisão, aplicando o checklist de 30 verificações. Durante as baterias, o sistema testou a resiliência do agente, comprovando que decisões iniciais com riscos subestimados ou violações de guardrails e contratos (ex: SLA MONITORING_ONLY) foram retidas, resultando na geração e injeção de feedback estruturado de volta ao Oracle para reavaliação. As correções ocorreram sem intervenção humana, preservando a segurança e continuidade das equipes gerenciais.</w:t>
      </w:r>
    </w:p>
    <w:p>
      <w:r>
        <w:br w:type="page"/>
      </w:r>
    </w:p>
    <w:p>
      <w:pPr>
        <w:spacing w:after="800"/>
      </w:pPr>
      <w:r/>
    </w:p>
    <w:p>
      <w:pPr>
        <w:spacing w:after="320"/>
        <w:jc w:val="both"/>
      </w:pPr>
      <w:r>
        <w:rPr>
          <w:b/>
          <w:color w:val="212529"/>
          <w:sz w:val="22"/>
        </w:rPr>
        <w:t xml:space="preserve">User Story: </w:t>
      </w:r>
      <w:r>
        <w:rPr>
          <w:color w:val="212529"/>
          <w:sz w:val="22"/>
        </w:rPr>
        <w:t>Migração do Motor de Raciocínio para o Oracle (US01), Parser e Fusão Híbrida (US02), Consumo de Feedback do Verifier (US04), CAOS como Verificador Independente (US05), Motor LLM do CAOS Verifier (US06), Checklist de 30 Verificações (US07), Score Dual-Layer (US08), Feedback Loop CAOS → Oracle (US09), Ajustes de Risco pelo Verifier (US10).</w:t>
      </w:r>
    </w:p>
    <w:p>
      <w:pPr>
        <w:spacing w:after="320"/>
        <w:jc w:val="both"/>
      </w:pPr>
      <w:r>
        <w:rPr>
          <w:b/>
          <w:color w:val="212529"/>
          <w:sz w:val="22"/>
        </w:rPr>
        <w:t xml:space="preserve">Critério de Aceite: </w:t>
      </w:r>
      <w:r>
        <w:rPr>
          <w:color w:val="212529"/>
          <w:sz w:val="22"/>
        </w:rPr>
        <w:t>Satisfazer os casos e USs presentes no JIRA (Mais detalhes presentes nos respectivos cards dentro do Jira)</w:t>
      </w:r>
    </w:p>
    <w:p>
      <w:pPr>
        <w:spacing w:after="480"/>
        <w:jc w:val="both"/>
      </w:pPr>
      <w:r>
        <w:rPr>
          <w:b/>
          <w:color w:val="212529"/>
          <w:sz w:val="22"/>
        </w:rPr>
        <w:t xml:space="preserve">Data: </w:t>
      </w:r>
      <w:r>
        <w:rPr>
          <w:color w:val="212529"/>
          <w:sz w:val="22"/>
        </w:rPr>
        <w:t>31/03/2026</w:t>
      </w:r>
    </w:p>
    <w:p>
      <w:r>
        <w:br w:type="page"/>
      </w:r>
    </w:p>
    <w:p>
      <w:pPr>
        <w:spacing w:after="320" w:before="480"/>
        <w:jc w:val="center"/>
      </w:pPr>
      <w:r>
        <w:rPr>
          <w:b/>
          <w:color w:val="212529"/>
          <w:sz w:val="32"/>
        </w:rPr>
        <w:t>Escopo e Metadados da User 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5"/>
        <w:gridCol w:w="4535"/>
      </w:tblGrid>
      <w:tr>
        <w:tc>
          <w:tcPr>
            <w:tcW w:type="dxa" w:w="4535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Detalhes da Demanda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USER ID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US01, US02, US04, US05, US06, US07, US08, US09, US10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Prioridade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Fonte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CAOS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Solicitante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Lucas Severino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Responsáveis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Lucas Severino</w:t>
            </w:r>
          </w:p>
        </w:tc>
      </w:tr>
      <w:tr>
        <w:tc>
          <w:tcPr>
            <w:tcW w:type="dxa" w:w="4535"/>
          </w:tcPr>
          <w:p>
            <w:r>
              <w:rPr>
                <w:sz w:val="20"/>
              </w:rPr>
              <w:t>Tempo Gasto</w:t>
            </w:r>
          </w:p>
        </w:tc>
        <w:tc>
          <w:tcPr>
            <w:tcW w:type="dxa" w:w="4535"/>
          </w:tcPr>
          <w:p>
            <w:r>
              <w:rPr>
                <w:sz w:val="20"/>
              </w:rPr>
              <w:t>(Dado pelo Card – O Usuário te notifica)</w:t>
            </w:r>
          </w:p>
        </w:tc>
      </w:tr>
    </w:tbl>
    <w:p>
      <w:r>
        <w:br w:type="page"/>
      </w:r>
    </w:p>
    <w:p>
      <w:pPr>
        <w:spacing w:after="320" w:before="480"/>
        <w:jc w:val="center"/>
      </w:pPr>
      <w:r>
        <w:rPr>
          <w:b/>
          <w:color w:val="212529"/>
          <w:sz w:val="32"/>
        </w:rPr>
        <w:t>Evidência de Execução – Implementações CAOS</w:t>
      </w:r>
    </w:p>
    <w:p>
      <w:pPr>
        <w:spacing w:after="480"/>
        <w:jc w:val="both"/>
      </w:pPr>
      <w:r>
        <w:rPr>
          <w:b/>
          <w:color w:val="212529"/>
          <w:sz w:val="22"/>
        </w:rPr>
        <w:t xml:space="preserve">Observação 01: </w:t>
      </w:r>
      <w:r>
        <w:rPr>
          <w:color w:val="212529"/>
          <w:sz w:val="22"/>
        </w:rPr>
        <w:t>Devido à arquitetura das implementações atuais e à interdependência entre os módulos, não é tecnicamente viável a validação isolada das unidades. Portanto, este cenário constitui o Teste de Aceitação Global, servindo como o único ponto de controle que garante a integridade da implementação e a funcionalidade plena de todo o ecossistema do sistema.</w:t>
      </w:r>
    </w:p>
    <w:p>
      <w:pPr>
        <w:spacing w:after="1200"/>
        <w:jc w:val="center"/>
      </w:pPr>
      <w:r>
        <w:rPr>
          <w:b/>
          <w:color w:val="969696"/>
          <w:sz w:val="24"/>
        </w:rPr>
        <w:t>[ INSERIR EVIDÊNCIA AQUI - PRINT 1 ]</w:t>
      </w:r>
    </w:p>
    <w:p>
      <w:pPr>
        <w:spacing w:after="1200"/>
        <w:jc w:val="center"/>
      </w:pPr>
      <w:r>
        <w:rPr>
          <w:b/>
          <w:color w:val="969696"/>
          <w:sz w:val="24"/>
        </w:rPr>
        <w:t>[ INSERIR EVIDÊNCIA AQUI - PRINT 2 ]</w:t>
      </w:r>
    </w:p>
    <w:p>
      <w:pPr>
        <w:spacing w:after="1200"/>
        <w:jc w:val="center"/>
      </w:pPr>
      <w:r>
        <w:rPr>
          <w:b/>
          <w:color w:val="969696"/>
          <w:sz w:val="24"/>
        </w:rPr>
        <w:t>[ INSERIR EVIDÊNCIA AQUI - PRINT 3 ]</w:t>
      </w:r>
    </w:p>
    <w:p>
      <w:pPr>
        <w:spacing w:before="480"/>
      </w:pPr>
      <w:r>
        <w:rPr>
          <w:b/>
          <w:color w:val="212529"/>
          <w:sz w:val="24"/>
        </w:rPr>
        <w:t xml:space="preserve">Resultado: </w:t>
      </w:r>
      <w:r>
        <w:rPr>
          <w:b/>
          <w:color w:val="008000"/>
          <w:sz w:val="24"/>
        </w:rPr>
        <w:t>✅ APROVADO.</w:t>
      </w:r>
    </w:p>
    <w:sectPr w:rsidR="00950C19" w:rsidRPr="00950C19" w:rsidSect="00950C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134" w:left="1701" w:header="0" w:footer="28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DDC7" w14:textId="77777777" w:rsidR="00393D64" w:rsidRDefault="00393D64">
      <w:pPr>
        <w:spacing w:after="0" w:line="240" w:lineRule="auto"/>
      </w:pPr>
      <w:r>
        <w:separator/>
      </w:r>
    </w:p>
  </w:endnote>
  <w:endnote w:type="continuationSeparator" w:id="0">
    <w:p w14:paraId="177F2F57" w14:textId="77777777" w:rsidR="00393D64" w:rsidRDefault="0039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BD2B95-03C3-400C-97A7-92672C79167F}"/>
    <w:embedBold r:id="rId2" w:fontKey="{9F647737-85B1-494F-BC59-460B78F575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C369CBC-FA56-4377-B54A-976A05F5EA58}"/>
  </w:font>
  <w:font w:name="Inter">
    <w:charset w:val="00"/>
    <w:family w:val="auto"/>
    <w:pitch w:val="default"/>
    <w:embedRegular r:id="rId4" w:fontKey="{53A0E4B3-D045-48F9-B800-DAD0CE5032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6848D7-71ED-476E-91F4-3ADFC4F27F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E0CEC6-D4A1-4198-AD8B-865AC6565A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79D9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EDC04" w14:textId="77777777" w:rsidR="001E397C" w:rsidRDefault="001E397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0"/>
      <w:tblW w:w="9015" w:type="dxa"/>
      <w:tblInd w:w="0" w:type="dxa"/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1E397C" w14:paraId="23CD2F1C" w14:textId="77777777">
      <w:trPr>
        <w:trHeight w:val="445"/>
      </w:trPr>
      <w:tc>
        <w:tcPr>
          <w:tcW w:w="3005" w:type="dxa"/>
        </w:tcPr>
        <w:p w14:paraId="23DB48ED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</w:tc>
      <w:tc>
        <w:tcPr>
          <w:tcW w:w="3005" w:type="dxa"/>
        </w:tcPr>
        <w:p w14:paraId="2E897185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69D4CD19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1194FA13" w14:textId="565D9DCD" w:rsidR="001E397C" w:rsidRDefault="00950C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6192" behindDoc="1" locked="0" layoutInCell="1" hidden="0" allowOverlap="1" wp14:anchorId="7079D4DC" wp14:editId="3F66502E">
          <wp:simplePos x="0" y="0"/>
          <wp:positionH relativeFrom="page">
            <wp:align>left</wp:align>
          </wp:positionH>
          <wp:positionV relativeFrom="page">
            <wp:posOffset>10086975</wp:posOffset>
          </wp:positionV>
          <wp:extent cx="8018780" cy="1025525"/>
          <wp:effectExtent l="0" t="0" r="1270" b="3175"/>
          <wp:wrapNone/>
          <wp:docPr id="214091057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27405" t="32490" r="25685" b="34135"/>
                  <a:stretch>
                    <a:fillRect/>
                  </a:stretch>
                </pic:blipFill>
                <pic:spPr>
                  <a:xfrm>
                    <a:off x="0" y="0"/>
                    <a:ext cx="8018780" cy="102552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4A6786" w14:textId="0B4E4FF2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10723123" w14:textId="4FEB4D3D" w:rsidR="001E397C" w:rsidRDefault="00950C19" w:rsidP="00950C19">
    <w:pPr>
      <w:pBdr>
        <w:top w:val="nil"/>
        <w:left w:val="nil"/>
        <w:bottom w:val="nil"/>
        <w:right w:val="nil"/>
        <w:between w:val="nil"/>
      </w:pBdr>
      <w:tabs>
        <w:tab w:val="left" w:pos="1635"/>
      </w:tabs>
      <w:spacing w:after="0" w:line="240" w:lineRule="auto"/>
      <w:rPr>
        <w:color w:val="000000"/>
      </w:rPr>
    </w:pP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E7365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93EB7" w14:textId="77777777" w:rsidR="00393D64" w:rsidRDefault="00393D64">
      <w:pPr>
        <w:spacing w:after="0" w:line="240" w:lineRule="auto"/>
      </w:pPr>
      <w:r>
        <w:separator/>
      </w:r>
    </w:p>
  </w:footnote>
  <w:footnote w:type="continuationSeparator" w:id="0">
    <w:p w14:paraId="010E800F" w14:textId="77777777" w:rsidR="00393D64" w:rsidRDefault="00393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8AE9" w14:textId="77777777" w:rsidR="001E3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02707A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95.3pt;height:588.65pt;z-index:-251657216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97F87" w14:textId="71664D9F" w:rsidR="001E397C" w:rsidRDefault="0076623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  <w:r>
      <w:rPr>
        <w:color w:val="000000"/>
      </w:rPr>
      <w:ptab w:relativeTo="indent" w:alignment="left" w:leader="none"/>
    </w:r>
    <w:r>
      <w:rPr>
        <w:color w:val="000000"/>
      </w:rPr>
      <w:ptab w:relativeTo="indent" w:alignment="center" w:leader="none"/>
    </w:r>
    <w:r w:rsidR="00000000">
      <w:pict w14:anchorId="302274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95.3pt;height:588.65pt;z-index:-25165926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  <w:tbl>
    <w:tblPr>
      <w:tblStyle w:val="a"/>
      <w:tblW w:w="10124" w:type="dxa"/>
      <w:tblInd w:w="0" w:type="dxa"/>
      <w:tblLayout w:type="fixed"/>
      <w:tblLook w:val="0600" w:firstRow="0" w:lastRow="0" w:firstColumn="0" w:lastColumn="0" w:noHBand="1" w:noVBand="1"/>
    </w:tblPr>
    <w:tblGrid>
      <w:gridCol w:w="4114"/>
      <w:gridCol w:w="3005"/>
      <w:gridCol w:w="3005"/>
    </w:tblGrid>
    <w:tr w:rsidR="001E397C" w14:paraId="0848C409" w14:textId="77777777">
      <w:trPr>
        <w:trHeight w:val="1841"/>
      </w:trPr>
      <w:tc>
        <w:tcPr>
          <w:tcW w:w="4114" w:type="dxa"/>
        </w:tcPr>
        <w:p w14:paraId="2EFE266D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  <w:p w14:paraId="6714E8E7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color w:val="000000"/>
            </w:rPr>
          </w:pPr>
        </w:p>
        <w:p w14:paraId="2837E6CC" w14:textId="77777777" w:rsidR="001E397C" w:rsidRDefault="00000000" w:rsidP="0095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34CA7E60" wp14:editId="575EF214">
                <wp:extent cx="1755521" cy="782445"/>
                <wp:effectExtent l="0" t="0" r="0" b="0"/>
                <wp:docPr id="32305786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t="28022" b="269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5521" cy="7824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039DE3C6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color w:val="000000"/>
            </w:rPr>
          </w:pPr>
        </w:p>
      </w:tc>
      <w:tc>
        <w:tcPr>
          <w:tcW w:w="3005" w:type="dxa"/>
        </w:tcPr>
        <w:p w14:paraId="5B37D73A" w14:textId="77777777" w:rsidR="001E397C" w:rsidRDefault="001E39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</w:p>
      </w:tc>
    </w:tr>
  </w:tbl>
  <w:p w14:paraId="6A953953" w14:textId="687AF3E3" w:rsidR="001E397C" w:rsidRDefault="00000000" w:rsidP="00950C19">
    <w:pPr>
      <w:spacing w:after="0"/>
      <w:ind w:right="5669"/>
      <w:jc w:val="center"/>
      <w:rPr>
        <w:rFonts w:ascii="Inter" w:eastAsia="Inter" w:hAnsi="Inter" w:cs="Inter"/>
        <w:color w:val="1C2120"/>
        <w:sz w:val="19"/>
        <w:szCs w:val="19"/>
      </w:rPr>
    </w:pPr>
    <w:r>
      <w:rPr>
        <w:rFonts w:ascii="Inter" w:eastAsia="Inter" w:hAnsi="Inter" w:cs="Inter"/>
        <w:color w:val="1C2120"/>
        <w:sz w:val="19"/>
        <w:szCs w:val="19"/>
      </w:rPr>
      <w:t>Inteligência para o mundo físico.</w:t>
    </w:r>
  </w:p>
  <w:p w14:paraId="79C51DDC" w14:textId="77777777" w:rsidR="001E397C" w:rsidRDefault="00000000" w:rsidP="00950C19">
    <w:pPr>
      <w:spacing w:after="0"/>
      <w:ind w:right="5669"/>
      <w:jc w:val="center"/>
      <w:rPr>
        <w:rFonts w:ascii="Inter" w:eastAsia="Inter" w:hAnsi="Inter" w:cs="Inter"/>
        <w:color w:val="1C2120"/>
        <w:sz w:val="19"/>
        <w:szCs w:val="19"/>
      </w:rPr>
    </w:pPr>
    <w:r>
      <w:rPr>
        <w:rFonts w:ascii="Inter" w:eastAsia="Inter" w:hAnsi="Inter" w:cs="Inter"/>
        <w:color w:val="1C2120"/>
        <w:sz w:val="19"/>
        <w:szCs w:val="19"/>
      </w:rPr>
      <w:t>Autonomia para o futuro.</w:t>
    </w:r>
  </w:p>
  <w:p w14:paraId="1A1772AA" w14:textId="77777777" w:rsidR="001E397C" w:rsidRDefault="001E39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20" w:after="0" w:line="240" w:lineRule="auto"/>
      <w:ind w:left="5669"/>
      <w:rPr>
        <w:b/>
        <w:bCs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E143B" w14:textId="77777777" w:rsidR="001E397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pict w14:anchorId="39CEB4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595.3pt;height:588.65pt;z-index:-25165824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97C"/>
    <w:rsid w:val="001E397C"/>
    <w:rsid w:val="00393D64"/>
    <w:rsid w:val="00766232"/>
    <w:rsid w:val="00950C19"/>
    <w:rsid w:val="00AD4631"/>
    <w:rsid w:val="00CA6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4A4115"/>
  <w15:docId w15:val="{5EEBE26D-CE81-425A-93C4-4C11D9BC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E7C02-22AD-4974-A38D-30092DFFC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Rosangela Fricke</dc:creator>
  <cp:lastModifiedBy>Rosangela Fricke</cp:lastModifiedBy>
  <cp:revision>2</cp:revision>
  <dcterms:created xsi:type="dcterms:W3CDTF">2026-01-19T14:23:00Z</dcterms:created>
  <dcterms:modified xsi:type="dcterms:W3CDTF">2026-01-19T14:23:00Z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fc0e9c1b-85cc-4a21-81bf-e40e8bf51d29</vt:lpwstr>
  </property>
</Properties>
</file>